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2" w:lineRule="auto"/>
        <w:rPr>
          <w:rFonts w:ascii="Arial"/>
          <w:sz w:val="21"/>
        </w:rPr>
      </w:pPr>
    </w:p>
    <w:p>
      <w:pPr>
        <w:spacing w:before="100" w:line="224" w:lineRule="auto"/>
        <w:ind w:left="176"/>
        <w:rPr>
          <w:rFonts w:ascii="黑体" w:hAnsi="黑体" w:eastAsia="黑体" w:cs="黑体"/>
          <w:sz w:val="31"/>
          <w:szCs w:val="31"/>
        </w:rPr>
      </w:pPr>
      <w:r>
        <w:rPr>
          <w:rFonts w:ascii="黑体" w:hAnsi="黑体" w:eastAsia="黑体" w:cs="黑体"/>
          <w:b/>
          <w:bCs/>
          <w:spacing w:val="-5"/>
          <w:sz w:val="31"/>
          <w:szCs w:val="31"/>
        </w:rPr>
        <w:t>附件</w:t>
      </w:r>
    </w:p>
    <w:p>
      <w:pPr>
        <w:spacing w:line="308" w:lineRule="auto"/>
        <w:rPr>
          <w:rFonts w:ascii="Arial"/>
          <w:sz w:val="21"/>
        </w:rPr>
      </w:pPr>
    </w:p>
    <w:p>
      <w:pPr>
        <w:spacing w:line="308"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2"/>
        <w:bidi w:val="0"/>
        <w:jc w:val="center"/>
      </w:pPr>
      <w:bookmarkStart w:id="0" w:name="_Toc406848129"/>
      <w:r>
        <w:rPr>
          <w:rFonts w:hint="eastAsia"/>
          <w:lang w:eastAsia="zh-CN"/>
        </w:rPr>
        <w:t>朝阳市供销社</w:t>
      </w:r>
      <w:bookmarkStart w:id="26" w:name="_GoBack"/>
      <w:bookmarkEnd w:id="26"/>
      <w:r>
        <w:rPr>
          <w:rFonts w:hint="eastAsia"/>
          <w:lang w:val="en-US" w:eastAsia="zh-CN"/>
        </w:rPr>
        <w:t>2025</w:t>
      </w:r>
      <w:r>
        <w:t>年度部门预算</w:t>
      </w:r>
      <w:bookmarkEnd w:id="0"/>
    </w:p>
    <w:p>
      <w:pPr>
        <w:pStyle w:val="2"/>
        <w:bidi w:val="0"/>
        <w:jc w:val="center"/>
        <w:sectPr>
          <w:footerReference r:id="rId5" w:type="default"/>
          <w:pgSz w:w="11920" w:h="16800"/>
          <w:pgMar w:top="1428" w:right="1788" w:bottom="0" w:left="1788" w:header="0" w:footer="0" w:gutter="0"/>
          <w:pgNumType w:fmt="decimal"/>
          <w:cols w:space="720" w:num="1"/>
        </w:sectPr>
      </w:pPr>
    </w:p>
    <w:p>
      <w:pPr>
        <w:pStyle w:val="3"/>
        <w:bidi w:val="0"/>
        <w:jc w:val="center"/>
      </w:pPr>
      <w:bookmarkStart w:id="1" w:name="_Toc1531831253"/>
      <w:r>
        <w:t>目    录</w:t>
      </w:r>
      <w:bookmarkEnd w:id="1"/>
    </w:p>
    <w:sdt>
      <w:sdtPr>
        <w:rPr>
          <w:rFonts w:ascii="宋体" w:hAnsi="宋体" w:eastAsia="宋体" w:cs="Arial"/>
          <w:snapToGrid w:val="0"/>
          <w:color w:val="000000"/>
          <w:kern w:val="0"/>
          <w:sz w:val="21"/>
          <w:szCs w:val="21"/>
          <w:lang w:val="en-US" w:eastAsia="en-US" w:bidi="ar-SA"/>
        </w:rPr>
        <w:id w:val="96222495"/>
        <w:showingPlcHdr/>
        <w:docPartObj>
          <w:docPartGallery w:val="Table of Contents"/>
          <w:docPartUnique/>
        </w:docPartObj>
      </w:sdtPr>
      <w:sdtEndPr>
        <w:rPr>
          <w:b/>
          <w:bCs/>
          <w:sz w:val="20"/>
          <w:szCs w:val="20"/>
        </w:rPr>
      </w:sdtEndPr>
      <w:sdtContent>
        <w:p>
          <w:pPr>
            <w:pStyle w:val="16"/>
            <w:tabs>
              <w:tab w:val="right" w:leader="dot" w:pos="8601"/>
            </w:tabs>
          </w:pPr>
        </w:p>
      </w:sdtContent>
    </w:sdt>
    <w:p>
      <w:pPr>
        <w:pStyle w:val="6"/>
        <w:spacing w:line="277" w:lineRule="auto"/>
      </w:pPr>
    </w:p>
    <w:p>
      <w:pPr>
        <w:spacing w:before="167" w:line="309" w:lineRule="auto"/>
        <w:ind w:left="898" w:right="3786" w:hanging="675"/>
        <w:rPr>
          <w:rFonts w:ascii="仿宋" w:hAnsi="仿宋" w:eastAsia="仿宋" w:cs="仿宋"/>
          <w:sz w:val="31"/>
          <w:szCs w:val="31"/>
        </w:rPr>
      </w:pPr>
      <w:r>
        <w:rPr>
          <w:rFonts w:hint="eastAsia" w:ascii="黑体" w:hAnsi="黑体" w:eastAsia="黑体" w:cs="黑体"/>
          <w:spacing w:val="4"/>
          <w:sz w:val="31"/>
          <w:szCs w:val="31"/>
          <w:lang w:eastAsia="zh-CN"/>
        </w:rPr>
        <w:t xml:space="preserve">第一部分 </w:t>
      </w:r>
      <w:r>
        <w:rPr>
          <w:rFonts w:ascii="黑体" w:hAnsi="黑体" w:eastAsia="黑体" w:cs="黑体"/>
          <w:spacing w:val="33"/>
          <w:sz w:val="31"/>
          <w:szCs w:val="31"/>
        </w:rPr>
        <w:t xml:space="preserve">  </w:t>
      </w:r>
      <w:r>
        <w:rPr>
          <w:rFonts w:hint="eastAsia" w:ascii="黑体" w:hAnsi="黑体" w:eastAsia="黑体" w:cs="黑体"/>
          <w:spacing w:val="4"/>
          <w:sz w:val="31"/>
          <w:szCs w:val="31"/>
          <w:lang w:eastAsia="zh-CN"/>
        </w:rPr>
        <w:t>朝阳市供销社</w:t>
      </w:r>
      <w:r>
        <w:rPr>
          <w:rFonts w:ascii="黑体" w:hAnsi="黑体" w:eastAsia="黑体" w:cs="黑体"/>
          <w:spacing w:val="4"/>
          <w:sz w:val="31"/>
          <w:szCs w:val="31"/>
        </w:rPr>
        <w:t>概况</w:t>
      </w:r>
      <w:r>
        <w:rPr>
          <w:rFonts w:ascii="黑体" w:hAnsi="黑体" w:eastAsia="黑体" w:cs="黑体"/>
          <w:spacing w:val="1"/>
          <w:sz w:val="31"/>
          <w:szCs w:val="31"/>
        </w:rPr>
        <w:t xml:space="preserve"> </w:t>
      </w:r>
      <w:r>
        <w:rPr>
          <w:rFonts w:ascii="仿宋" w:hAnsi="仿宋" w:eastAsia="仿宋" w:cs="仿宋"/>
          <w:spacing w:val="-4"/>
          <w:sz w:val="31"/>
          <w:szCs w:val="31"/>
        </w:rPr>
        <w:t>一、部门职责</w:t>
      </w:r>
    </w:p>
    <w:p>
      <w:pPr>
        <w:spacing w:before="46" w:line="222" w:lineRule="auto"/>
        <w:ind w:left="898"/>
        <w:rPr>
          <w:rFonts w:ascii="仿宋" w:hAnsi="仿宋" w:eastAsia="仿宋" w:cs="仿宋"/>
          <w:spacing w:val="-9"/>
          <w:sz w:val="31"/>
          <w:szCs w:val="31"/>
        </w:rPr>
      </w:pPr>
      <w:r>
        <w:rPr>
          <w:rFonts w:ascii="仿宋" w:hAnsi="仿宋" w:eastAsia="仿宋" w:cs="仿宋"/>
          <w:spacing w:val="-9"/>
          <w:sz w:val="31"/>
          <w:szCs w:val="31"/>
        </w:rPr>
        <w:t>二、机构设置</w:t>
      </w:r>
    </w:p>
    <w:p>
      <w:pPr>
        <w:spacing w:before="46" w:line="222" w:lineRule="auto"/>
        <w:ind w:firstLine="318" w:firstLineChars="100"/>
        <w:rPr>
          <w:rFonts w:hint="eastAsia" w:ascii="黑体" w:hAnsi="黑体" w:eastAsia="黑体" w:cs="黑体"/>
          <w:spacing w:val="4"/>
          <w:sz w:val="31"/>
          <w:szCs w:val="31"/>
          <w:lang w:val="en-US" w:eastAsia="zh-CN"/>
        </w:rPr>
      </w:pPr>
      <w:r>
        <w:rPr>
          <w:rFonts w:hint="eastAsia" w:ascii="黑体" w:hAnsi="黑体" w:eastAsia="黑体" w:cs="黑体"/>
          <w:spacing w:val="4"/>
          <w:sz w:val="31"/>
          <w:szCs w:val="31"/>
          <w:lang w:val="en-US" w:eastAsia="zh-CN"/>
        </w:rPr>
        <w:t xml:space="preserve">第二部分 </w:t>
      </w:r>
      <w:r>
        <w:rPr>
          <w:rFonts w:hint="eastAsia" w:ascii="仿宋" w:hAnsi="仿宋" w:eastAsia="仿宋" w:cs="仿宋"/>
          <w:spacing w:val="-9"/>
          <w:sz w:val="31"/>
          <w:szCs w:val="31"/>
          <w:lang w:val="en-US" w:eastAsia="zh-CN"/>
        </w:rPr>
        <w:t xml:space="preserve">  </w:t>
      </w:r>
      <w:r>
        <w:rPr>
          <w:rFonts w:hint="eastAsia" w:ascii="黑体" w:hAnsi="黑体" w:eastAsia="黑体" w:cs="黑体"/>
          <w:spacing w:val="4"/>
          <w:sz w:val="31"/>
          <w:szCs w:val="31"/>
          <w:lang w:val="en-US" w:eastAsia="zh-CN"/>
        </w:rPr>
        <w:t>朝阳市供销社2025年部门预算情况说明</w:t>
      </w:r>
    </w:p>
    <w:p>
      <w:pPr>
        <w:spacing w:before="46" w:line="222" w:lineRule="auto"/>
        <w:ind w:firstLine="318" w:firstLineChars="100"/>
        <w:rPr>
          <w:rFonts w:hint="eastAsia" w:ascii="黑体" w:hAnsi="黑体" w:eastAsia="黑体" w:cs="黑体"/>
          <w:spacing w:val="4"/>
          <w:sz w:val="31"/>
          <w:szCs w:val="31"/>
          <w:lang w:val="en-US" w:eastAsia="zh-CN"/>
        </w:rPr>
      </w:pPr>
      <w:r>
        <w:rPr>
          <w:rFonts w:hint="eastAsia" w:ascii="黑体" w:hAnsi="黑体" w:eastAsia="黑体" w:cs="黑体"/>
          <w:spacing w:val="4"/>
          <w:sz w:val="31"/>
          <w:szCs w:val="31"/>
          <w:lang w:val="en-US" w:eastAsia="zh-CN"/>
        </w:rPr>
        <w:t>第三部分</w:t>
      </w:r>
      <w:r>
        <w:rPr>
          <w:rFonts w:hint="eastAsia" w:ascii="黑体" w:hAnsi="黑体" w:eastAsia="黑体" w:cs="黑体"/>
          <w:spacing w:val="4"/>
          <w:sz w:val="31"/>
          <w:szCs w:val="31"/>
          <w:lang w:val="en-US" w:eastAsia="zh-CN"/>
        </w:rPr>
        <w:t xml:space="preserve">   名词解释</w:t>
      </w:r>
    </w:p>
    <w:p>
      <w:pPr>
        <w:spacing w:before="46" w:line="222" w:lineRule="auto"/>
        <w:ind w:firstLine="318" w:firstLineChars="100"/>
        <w:rPr>
          <w:rFonts w:hint="default" w:ascii="黑体" w:hAnsi="黑体" w:eastAsia="黑体" w:cs="黑体"/>
          <w:spacing w:val="4"/>
          <w:sz w:val="31"/>
          <w:szCs w:val="31"/>
          <w:lang w:val="en-US" w:eastAsia="zh-CN"/>
        </w:rPr>
      </w:pPr>
      <w:r>
        <w:rPr>
          <w:rFonts w:hint="eastAsia" w:ascii="黑体" w:hAnsi="黑体" w:eastAsia="黑体" w:cs="黑体"/>
          <w:spacing w:val="4"/>
          <w:sz w:val="31"/>
          <w:szCs w:val="31"/>
          <w:lang w:val="en-US" w:eastAsia="zh-CN"/>
        </w:rPr>
        <w:t xml:space="preserve">第四部分  </w:t>
      </w:r>
      <w:r>
        <w:rPr>
          <w:rFonts w:hint="eastAsia" w:ascii="黑体" w:hAnsi="黑体" w:eastAsia="黑体" w:cs="黑体"/>
          <w:spacing w:val="4"/>
          <w:sz w:val="31"/>
          <w:szCs w:val="31"/>
          <w:lang w:val="en-US" w:eastAsia="zh-CN"/>
        </w:rPr>
        <w:t xml:space="preserve"> 2025年朝阳市供销社部门预算批复表</w:t>
      </w:r>
    </w:p>
    <w:p>
      <w:pPr>
        <w:spacing w:before="203" w:line="222" w:lineRule="auto"/>
        <w:ind w:left="748"/>
        <w:rPr>
          <w:rFonts w:ascii="仿宋" w:hAnsi="仿宋" w:eastAsia="仿宋" w:cs="仿宋"/>
          <w:sz w:val="31"/>
          <w:szCs w:val="31"/>
        </w:rPr>
      </w:pPr>
      <w:r>
        <w:rPr>
          <w:rFonts w:ascii="仿宋" w:hAnsi="仿宋" w:eastAsia="仿宋" w:cs="仿宋"/>
          <w:spacing w:val="-15"/>
          <w:sz w:val="31"/>
          <w:szCs w:val="31"/>
        </w:rPr>
        <w:t>一</w:t>
      </w:r>
      <w:r>
        <w:rPr>
          <w:rFonts w:ascii="仿宋" w:hAnsi="仿宋" w:eastAsia="仿宋" w:cs="仿宋"/>
          <w:spacing w:val="-71"/>
          <w:sz w:val="31"/>
          <w:szCs w:val="31"/>
        </w:rPr>
        <w:t xml:space="preserve"> </w:t>
      </w:r>
      <w:r>
        <w:rPr>
          <w:rFonts w:ascii="仿宋" w:hAnsi="仿宋" w:eastAsia="仿宋" w:cs="仿宋"/>
          <w:spacing w:val="-15"/>
          <w:sz w:val="31"/>
          <w:szCs w:val="31"/>
        </w:rPr>
        <w:t>、收支预算总表</w:t>
      </w:r>
    </w:p>
    <w:p>
      <w:pPr>
        <w:spacing w:before="167" w:line="222" w:lineRule="auto"/>
        <w:ind w:left="748"/>
        <w:rPr>
          <w:rFonts w:ascii="仿宋" w:hAnsi="仿宋" w:eastAsia="仿宋" w:cs="仿宋"/>
          <w:sz w:val="31"/>
          <w:szCs w:val="31"/>
        </w:rPr>
      </w:pPr>
      <w:r>
        <w:rPr>
          <w:rFonts w:ascii="仿宋" w:hAnsi="仿宋" w:eastAsia="仿宋" w:cs="仿宋"/>
          <w:spacing w:val="-4"/>
          <w:sz w:val="31"/>
          <w:szCs w:val="31"/>
        </w:rPr>
        <w:t>二、收入预算总表</w:t>
      </w:r>
    </w:p>
    <w:p>
      <w:pPr>
        <w:spacing w:before="177" w:line="222" w:lineRule="auto"/>
        <w:ind w:left="748"/>
        <w:rPr>
          <w:rFonts w:ascii="仿宋" w:hAnsi="仿宋" w:eastAsia="仿宋" w:cs="仿宋"/>
          <w:sz w:val="31"/>
          <w:szCs w:val="31"/>
        </w:rPr>
      </w:pPr>
      <w:r>
        <w:rPr>
          <w:rFonts w:ascii="仿宋" w:hAnsi="仿宋" w:eastAsia="仿宋" w:cs="仿宋"/>
          <w:spacing w:val="-5"/>
          <w:sz w:val="31"/>
          <w:szCs w:val="31"/>
        </w:rPr>
        <w:t>三、支出预算总表</w:t>
      </w:r>
    </w:p>
    <w:p>
      <w:pPr>
        <w:spacing w:before="157" w:line="222" w:lineRule="auto"/>
        <w:ind w:left="748"/>
        <w:rPr>
          <w:rFonts w:ascii="仿宋" w:hAnsi="仿宋" w:eastAsia="仿宋" w:cs="仿宋"/>
          <w:sz w:val="31"/>
          <w:szCs w:val="31"/>
        </w:rPr>
      </w:pPr>
      <w:r>
        <w:rPr>
          <w:rFonts w:ascii="仿宋" w:hAnsi="仿宋" w:eastAsia="仿宋" w:cs="仿宋"/>
          <w:spacing w:val="-5"/>
          <w:sz w:val="31"/>
          <w:szCs w:val="31"/>
        </w:rPr>
        <w:t>四、财政拨款收支预算总表</w:t>
      </w:r>
    </w:p>
    <w:p>
      <w:pPr>
        <w:spacing w:before="168" w:line="222" w:lineRule="auto"/>
        <w:ind w:left="748"/>
        <w:rPr>
          <w:rFonts w:ascii="仿宋" w:hAnsi="仿宋" w:eastAsia="仿宋" w:cs="仿宋"/>
          <w:sz w:val="31"/>
          <w:szCs w:val="31"/>
        </w:rPr>
      </w:pPr>
      <w:r>
        <w:rPr>
          <w:rFonts w:ascii="仿宋" w:hAnsi="仿宋" w:eastAsia="仿宋" w:cs="仿宋"/>
          <w:spacing w:val="-4"/>
          <w:sz w:val="31"/>
          <w:szCs w:val="31"/>
        </w:rPr>
        <w:t>五、一般公共预算支出表</w:t>
      </w:r>
    </w:p>
    <w:p>
      <w:pPr>
        <w:spacing w:before="167" w:line="222" w:lineRule="auto"/>
        <w:ind w:left="748"/>
        <w:rPr>
          <w:rFonts w:ascii="仿宋" w:hAnsi="仿宋" w:eastAsia="仿宋" w:cs="仿宋"/>
          <w:sz w:val="31"/>
          <w:szCs w:val="31"/>
        </w:rPr>
      </w:pPr>
      <w:r>
        <w:rPr>
          <w:rFonts w:ascii="仿宋" w:hAnsi="仿宋" w:eastAsia="仿宋" w:cs="仿宋"/>
          <w:spacing w:val="-4"/>
          <w:sz w:val="31"/>
          <w:szCs w:val="31"/>
        </w:rPr>
        <w:t>六、一般公共预算基本支出表</w:t>
      </w:r>
    </w:p>
    <w:p>
      <w:pPr>
        <w:spacing w:before="187" w:line="222" w:lineRule="auto"/>
        <w:ind w:left="748"/>
        <w:rPr>
          <w:rFonts w:ascii="仿宋" w:hAnsi="仿宋" w:eastAsia="仿宋" w:cs="仿宋"/>
          <w:sz w:val="31"/>
          <w:szCs w:val="31"/>
        </w:rPr>
      </w:pPr>
      <w:r>
        <w:rPr>
          <w:rFonts w:ascii="仿宋" w:hAnsi="仿宋" w:eastAsia="仿宋" w:cs="仿宋"/>
          <w:spacing w:val="-2"/>
          <w:sz w:val="31"/>
          <w:szCs w:val="31"/>
        </w:rPr>
        <w:t>七、财政拨款预算“三公”经费支出表</w:t>
      </w:r>
    </w:p>
    <w:p>
      <w:pPr>
        <w:spacing w:before="146" w:line="220" w:lineRule="auto"/>
        <w:ind w:left="748"/>
        <w:rPr>
          <w:rFonts w:ascii="仿宋" w:hAnsi="仿宋" w:eastAsia="仿宋" w:cs="仿宋"/>
          <w:sz w:val="31"/>
          <w:szCs w:val="31"/>
        </w:rPr>
      </w:pPr>
      <w:r>
        <w:rPr>
          <w:rFonts w:ascii="仿宋" w:hAnsi="仿宋" w:eastAsia="仿宋" w:cs="仿宋"/>
          <w:spacing w:val="-4"/>
          <w:sz w:val="31"/>
          <w:szCs w:val="31"/>
        </w:rPr>
        <w:t>八、政府性基金预算支出表</w:t>
      </w:r>
    </w:p>
    <w:p>
      <w:pPr>
        <w:spacing w:before="162" w:line="222" w:lineRule="auto"/>
        <w:ind w:left="748"/>
        <w:rPr>
          <w:rFonts w:ascii="仿宋" w:hAnsi="仿宋" w:eastAsia="仿宋" w:cs="仿宋"/>
          <w:sz w:val="31"/>
          <w:szCs w:val="31"/>
        </w:rPr>
      </w:pPr>
      <w:r>
        <w:rPr>
          <w:rFonts w:ascii="仿宋" w:hAnsi="仿宋" w:eastAsia="仿宋" w:cs="仿宋"/>
          <w:spacing w:val="-3"/>
          <w:sz w:val="31"/>
          <w:szCs w:val="31"/>
        </w:rPr>
        <w:t>九、项目支出预算表</w:t>
      </w:r>
    </w:p>
    <w:p>
      <w:pPr>
        <w:spacing w:before="177" w:line="222" w:lineRule="auto"/>
        <w:ind w:left="748"/>
        <w:rPr>
          <w:rFonts w:ascii="仿宋" w:hAnsi="仿宋" w:eastAsia="仿宋" w:cs="仿宋"/>
          <w:sz w:val="31"/>
          <w:szCs w:val="31"/>
        </w:rPr>
      </w:pPr>
      <w:r>
        <w:rPr>
          <w:rFonts w:ascii="仿宋" w:hAnsi="仿宋" w:eastAsia="仿宋" w:cs="仿宋"/>
          <w:spacing w:val="-3"/>
          <w:sz w:val="31"/>
          <w:szCs w:val="31"/>
        </w:rPr>
        <w:t>十、支出功能分类预算表</w:t>
      </w:r>
    </w:p>
    <w:p>
      <w:pPr>
        <w:spacing w:before="157" w:line="221" w:lineRule="auto"/>
        <w:ind w:left="748"/>
        <w:rPr>
          <w:rFonts w:ascii="仿宋" w:hAnsi="仿宋" w:eastAsia="仿宋" w:cs="仿宋"/>
          <w:sz w:val="31"/>
          <w:szCs w:val="31"/>
        </w:rPr>
      </w:pPr>
      <w:r>
        <w:rPr>
          <w:rFonts w:ascii="仿宋" w:hAnsi="仿宋" w:eastAsia="仿宋" w:cs="仿宋"/>
          <w:spacing w:val="7"/>
          <w:sz w:val="31"/>
          <w:szCs w:val="31"/>
        </w:rPr>
        <w:t>十一、支出经济分类预算表(政府预算)</w:t>
      </w:r>
    </w:p>
    <w:p>
      <w:pPr>
        <w:spacing w:before="168" w:line="221" w:lineRule="auto"/>
        <w:ind w:left="748"/>
        <w:rPr>
          <w:rFonts w:ascii="仿宋" w:hAnsi="仿宋" w:eastAsia="仿宋" w:cs="仿宋"/>
          <w:sz w:val="31"/>
          <w:szCs w:val="31"/>
        </w:rPr>
      </w:pPr>
      <w:r>
        <w:rPr>
          <w:rFonts w:ascii="仿宋" w:hAnsi="仿宋" w:eastAsia="仿宋" w:cs="仿宋"/>
          <w:spacing w:val="11"/>
          <w:sz w:val="31"/>
          <w:szCs w:val="31"/>
        </w:rPr>
        <w:t>十二、支出经济分类预算表(部门预算)</w:t>
      </w:r>
    </w:p>
    <w:p>
      <w:pPr>
        <w:spacing w:before="149" w:line="221" w:lineRule="auto"/>
        <w:ind w:left="748"/>
        <w:rPr>
          <w:rFonts w:ascii="仿宋" w:hAnsi="仿宋" w:eastAsia="仿宋" w:cs="仿宋"/>
          <w:sz w:val="31"/>
          <w:szCs w:val="31"/>
        </w:rPr>
      </w:pPr>
      <w:r>
        <w:rPr>
          <w:rFonts w:ascii="仿宋" w:hAnsi="仿宋" w:eastAsia="仿宋" w:cs="仿宋"/>
          <w:spacing w:val="-3"/>
          <w:sz w:val="31"/>
          <w:szCs w:val="31"/>
        </w:rPr>
        <w:t>十三、债务支出预算表</w:t>
      </w:r>
    </w:p>
    <w:p>
      <w:pPr>
        <w:spacing w:before="180" w:line="222" w:lineRule="auto"/>
        <w:ind w:left="748"/>
        <w:rPr>
          <w:rFonts w:ascii="仿宋" w:hAnsi="仿宋" w:eastAsia="仿宋" w:cs="仿宋"/>
          <w:sz w:val="31"/>
          <w:szCs w:val="31"/>
        </w:rPr>
      </w:pPr>
      <w:r>
        <w:rPr>
          <w:rFonts w:ascii="仿宋" w:hAnsi="仿宋" w:eastAsia="仿宋" w:cs="仿宋"/>
          <w:spacing w:val="-3"/>
          <w:sz w:val="31"/>
          <w:szCs w:val="31"/>
        </w:rPr>
        <w:t>十四、政府采购支出预算表</w:t>
      </w:r>
    </w:p>
    <w:p>
      <w:pPr>
        <w:spacing w:line="222" w:lineRule="auto"/>
        <w:rPr>
          <w:rFonts w:ascii="仿宋" w:hAnsi="仿宋" w:eastAsia="仿宋" w:cs="仿宋"/>
          <w:sz w:val="31"/>
          <w:szCs w:val="31"/>
        </w:rPr>
        <w:sectPr>
          <w:footerReference r:id="rId6" w:type="default"/>
          <w:pgSz w:w="11940" w:h="16780"/>
          <w:pgMar w:top="1426" w:right="1791" w:bottom="1412" w:left="1791" w:header="0" w:footer="1277" w:gutter="0"/>
          <w:pgNumType w:fmt="decimal" w:start="1"/>
          <w:cols w:space="720" w:num="1"/>
        </w:sectPr>
      </w:pPr>
    </w:p>
    <w:p>
      <w:pPr>
        <w:pStyle w:val="6"/>
        <w:spacing w:line="295" w:lineRule="auto"/>
      </w:pPr>
    </w:p>
    <w:p>
      <w:pPr>
        <w:spacing w:before="180" w:line="222" w:lineRule="auto"/>
        <w:ind w:left="748"/>
        <w:rPr>
          <w:rFonts w:ascii="仿宋" w:hAnsi="仿宋" w:eastAsia="仿宋" w:cs="仿宋"/>
          <w:spacing w:val="-3"/>
          <w:sz w:val="31"/>
          <w:szCs w:val="31"/>
        </w:rPr>
      </w:pPr>
      <w:r>
        <w:rPr>
          <w:rFonts w:ascii="仿宋" w:hAnsi="仿宋" w:eastAsia="仿宋" w:cs="仿宋"/>
          <w:spacing w:val="-3"/>
          <w:sz w:val="31"/>
          <w:szCs w:val="31"/>
        </w:rPr>
        <w:t>十五、政府购买服务支出预算表</w:t>
      </w:r>
    </w:p>
    <w:p>
      <w:pPr>
        <w:spacing w:before="180" w:line="222" w:lineRule="auto"/>
        <w:ind w:left="748"/>
        <w:rPr>
          <w:rFonts w:ascii="仿宋" w:hAnsi="仿宋" w:eastAsia="仿宋" w:cs="仿宋"/>
          <w:spacing w:val="-3"/>
          <w:sz w:val="31"/>
          <w:szCs w:val="31"/>
        </w:rPr>
      </w:pPr>
      <w:r>
        <w:rPr>
          <w:rFonts w:ascii="仿宋" w:hAnsi="仿宋" w:eastAsia="仿宋" w:cs="仿宋"/>
          <w:spacing w:val="-3"/>
          <w:sz w:val="31"/>
          <w:szCs w:val="31"/>
        </w:rPr>
        <w:t>十六、部门(单位)整体绩效目标表</w:t>
      </w:r>
    </w:p>
    <w:p>
      <w:pPr>
        <w:spacing w:before="180" w:line="222" w:lineRule="auto"/>
        <w:ind w:left="748"/>
        <w:rPr>
          <w:rFonts w:ascii="仿宋" w:hAnsi="仿宋" w:eastAsia="仿宋" w:cs="仿宋"/>
          <w:spacing w:val="-3"/>
          <w:sz w:val="31"/>
          <w:szCs w:val="31"/>
        </w:rPr>
      </w:pPr>
      <w:r>
        <w:rPr>
          <w:rFonts w:ascii="仿宋" w:hAnsi="仿宋" w:eastAsia="仿宋" w:cs="仿宋"/>
          <w:spacing w:val="-3"/>
          <w:sz w:val="31"/>
          <w:szCs w:val="31"/>
        </w:rPr>
        <w:t>十七、部门预算项目(政策)绩效目标表</w:t>
      </w:r>
    </w:p>
    <w:p>
      <w:pPr>
        <w:spacing w:before="180" w:line="222" w:lineRule="auto"/>
        <w:ind w:left="748"/>
        <w:rPr>
          <w:rFonts w:ascii="仿宋" w:hAnsi="仿宋" w:eastAsia="仿宋" w:cs="仿宋"/>
          <w:spacing w:val="-3"/>
          <w:sz w:val="31"/>
          <w:szCs w:val="31"/>
        </w:rPr>
        <w:sectPr>
          <w:footerReference r:id="rId7" w:type="default"/>
          <w:pgSz w:w="11940" w:h="16780"/>
          <w:pgMar w:top="1426" w:right="1791" w:bottom="1417" w:left="1791" w:header="0" w:footer="1291" w:gutter="0"/>
          <w:pgNumType w:fmt="decimal"/>
          <w:cols w:space="720" w:num="1"/>
        </w:sectPr>
      </w:pPr>
      <w:r>
        <w:rPr>
          <w:rFonts w:ascii="仿宋" w:hAnsi="仿宋" w:eastAsia="仿宋" w:cs="仿宋"/>
          <w:spacing w:val="-3"/>
          <w:sz w:val="31"/>
          <w:szCs w:val="31"/>
        </w:rPr>
        <w:t>十八、部门管理专项资金</w:t>
      </w:r>
    </w:p>
    <w:p>
      <w:pPr>
        <w:pStyle w:val="6"/>
        <w:spacing w:line="282" w:lineRule="auto"/>
      </w:pPr>
    </w:p>
    <w:p>
      <w:pPr>
        <w:pStyle w:val="3"/>
        <w:pageBreakBefore w:val="0"/>
        <w:widowControl/>
        <w:kinsoku w:val="0"/>
        <w:wordWrap/>
        <w:overflowPunct/>
        <w:topLinePunct w:val="0"/>
        <w:autoSpaceDE w:val="0"/>
        <w:autoSpaceDN w:val="0"/>
        <w:bidi w:val="0"/>
        <w:adjustRightInd w:val="0"/>
        <w:snapToGrid w:val="0"/>
        <w:spacing w:line="560" w:lineRule="exact"/>
        <w:jc w:val="center"/>
        <w:textAlignment w:val="baseline"/>
      </w:pPr>
      <w:bookmarkStart w:id="2" w:name="_Toc1636739275_WPSOffice_Level1"/>
      <w:bookmarkStart w:id="3" w:name="_Toc258567713"/>
      <w:r>
        <w:rPr>
          <w:rFonts w:hint="eastAsia"/>
          <w:lang w:eastAsia="zh-CN"/>
        </w:rPr>
        <w:t>第一部分朝阳市供销社</w:t>
      </w:r>
      <w:r>
        <w:t>概况</w:t>
      </w:r>
      <w:bookmarkEnd w:id="2"/>
      <w:bookmarkEnd w:id="3"/>
    </w:p>
    <w:p>
      <w:pPr>
        <w:pStyle w:val="4"/>
        <w:pageBreakBefore w:val="0"/>
        <w:widowControl/>
        <w:kinsoku w:val="0"/>
        <w:wordWrap/>
        <w:overflowPunct/>
        <w:topLinePunct w:val="0"/>
        <w:autoSpaceDE w:val="0"/>
        <w:autoSpaceDN w:val="0"/>
        <w:bidi w:val="0"/>
        <w:adjustRightInd w:val="0"/>
        <w:snapToGrid w:val="0"/>
        <w:spacing w:line="560" w:lineRule="exact"/>
        <w:ind w:firstLine="642" w:firstLineChars="200"/>
        <w:textAlignment w:val="baseline"/>
      </w:pPr>
      <w:bookmarkStart w:id="4" w:name="_Toc186097892_WPSOffice_Level2"/>
      <w:bookmarkStart w:id="5" w:name="_Toc1430584353"/>
      <w:r>
        <w:t>一 、部门职责</w:t>
      </w:r>
      <w:bookmarkEnd w:id="4"/>
      <w:bookmarkEnd w:id="5"/>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lang w:eastAsia="zh-CN"/>
        </w:rPr>
        <w:t>朝阳市供销社成立于</w:t>
      </w:r>
      <w:r>
        <w:rPr>
          <w:rFonts w:hint="eastAsia" w:ascii="仿宋_GB2312" w:hAnsi="仿宋_GB2312" w:eastAsia="仿宋_GB2312" w:cs="仿宋_GB2312"/>
          <w:lang w:val="en-US" w:eastAsia="zh-CN"/>
        </w:rPr>
        <w:t>1958年，为正县（处）级单位，朝阳市供销合作社联合社主要职责是：制定和实施全市供销系统经济发展规划；服务“三农”，</w:t>
      </w:r>
      <w:r>
        <w:rPr>
          <w:rFonts w:hint="eastAsia" w:ascii="仿宋_GB2312" w:hAnsi="仿宋_GB2312" w:eastAsia="仿宋_GB2312" w:cs="仿宋_GB2312"/>
          <w:lang w:eastAsia="zh-CN"/>
        </w:rPr>
        <w:t>负责农民经济合作组织和综合服务网络建设；发展现代流通业，组织建设“新网工程”；落实政府各项惠农政策，促进农民增收和农村经济社会发展。</w:t>
      </w:r>
    </w:p>
    <w:p>
      <w:pPr>
        <w:pStyle w:val="4"/>
        <w:pageBreakBefore w:val="0"/>
        <w:widowControl/>
        <w:kinsoku w:val="0"/>
        <w:wordWrap/>
        <w:overflowPunct/>
        <w:topLinePunct w:val="0"/>
        <w:autoSpaceDE w:val="0"/>
        <w:autoSpaceDN w:val="0"/>
        <w:bidi w:val="0"/>
        <w:adjustRightInd w:val="0"/>
        <w:snapToGrid w:val="0"/>
        <w:spacing w:line="560" w:lineRule="exact"/>
        <w:ind w:firstLine="642" w:firstLineChars="200"/>
        <w:textAlignment w:val="baseline"/>
      </w:pPr>
      <w:bookmarkStart w:id="6" w:name="_Toc1076398289_WPSOffice_Level2"/>
      <w:bookmarkStart w:id="7" w:name="_Toc872226755"/>
      <w:r>
        <w:t>二、机构设置</w:t>
      </w:r>
      <w:bookmarkEnd w:id="6"/>
      <w:bookmarkEnd w:id="7"/>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lang w:eastAsia="zh-CN"/>
        </w:rPr>
      </w:pPr>
      <w:r>
        <w:rPr>
          <w:rFonts w:hint="eastAsia" w:ascii="仿宋_GB2312" w:hAnsi="仿宋_GB2312" w:eastAsia="仿宋_GB2312" w:cs="仿宋_GB2312"/>
          <w:lang w:eastAsia="zh-CN"/>
        </w:rPr>
        <w:t>纳入朝阳市供销社</w:t>
      </w:r>
      <w:r>
        <w:rPr>
          <w:rFonts w:hint="eastAsia" w:ascii="仿宋_GB2312" w:hAnsi="仿宋_GB2312" w:eastAsia="仿宋_GB2312" w:cs="仿宋_GB2312"/>
          <w:lang w:val="en-US" w:eastAsia="zh-CN"/>
        </w:rPr>
        <w:t>2025</w:t>
      </w:r>
      <w:r>
        <w:rPr>
          <w:rFonts w:hint="eastAsia" w:ascii="仿宋_GB2312" w:hAnsi="仿宋_GB2312" w:eastAsia="仿宋_GB2312" w:cs="仿宋_GB2312"/>
          <w:lang w:eastAsia="zh-CN"/>
        </w:rPr>
        <w:t>年部门预算编制范围的预算单位包括：</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pPr>
      <w:r>
        <w:rPr>
          <w:rFonts w:hint="eastAsia" w:ascii="仿宋_GB2312" w:hAnsi="仿宋_GB2312" w:eastAsia="仿宋_GB2312" w:cs="仿宋_GB2312"/>
          <w:lang w:eastAsia="zh-CN"/>
        </w:rPr>
        <w:t>1.朝阳市供销合作社联合社</w:t>
      </w:r>
      <w:bookmarkStart w:id="8" w:name="_Toc186097892_WPSOffice_Level1"/>
      <w:bookmarkStart w:id="9" w:name="_Toc1269869225"/>
    </w:p>
    <w:p/>
    <w:p>
      <w:pPr>
        <w:pStyle w:val="3"/>
        <w:pageBreakBefore w:val="0"/>
        <w:widowControl/>
        <w:kinsoku w:val="0"/>
        <w:wordWrap/>
        <w:overflowPunct/>
        <w:topLinePunct w:val="0"/>
        <w:autoSpaceDE w:val="0"/>
        <w:autoSpaceDN w:val="0"/>
        <w:bidi w:val="0"/>
        <w:adjustRightInd w:val="0"/>
        <w:snapToGrid w:val="0"/>
        <w:spacing w:line="560" w:lineRule="exact"/>
        <w:jc w:val="center"/>
        <w:textAlignment w:val="baseline"/>
      </w:pPr>
      <w:r>
        <w:t>第</w:t>
      </w:r>
      <w:r>
        <w:rPr>
          <w:rFonts w:hint="eastAsia"/>
          <w:lang w:eastAsia="zh-CN"/>
        </w:rPr>
        <w:t>二</w:t>
      </w:r>
      <w:r>
        <w:t>部分</w:t>
      </w:r>
      <w:r>
        <w:rPr>
          <w:rFonts w:hint="eastAsia"/>
          <w:lang w:eastAsia="zh-CN"/>
        </w:rPr>
        <w:t>朝阳市供销</w:t>
      </w:r>
      <w:r>
        <w:rPr>
          <w:rFonts w:hint="eastAsia"/>
          <w:lang w:val="en-US" w:eastAsia="zh-CN"/>
        </w:rPr>
        <w:t>2025</w:t>
      </w:r>
      <w:r>
        <w:t>年部门预算情况说明</w:t>
      </w:r>
      <w:bookmarkEnd w:id="8"/>
      <w:bookmarkEnd w:id="9"/>
    </w:p>
    <w:p>
      <w:pPr>
        <w:pStyle w:val="4"/>
        <w:pageBreakBefore w:val="0"/>
        <w:widowControl/>
        <w:kinsoku w:val="0"/>
        <w:wordWrap/>
        <w:overflowPunct/>
        <w:topLinePunct w:val="0"/>
        <w:autoSpaceDE w:val="0"/>
        <w:autoSpaceDN w:val="0"/>
        <w:bidi w:val="0"/>
        <w:adjustRightInd w:val="0"/>
        <w:snapToGrid w:val="0"/>
        <w:spacing w:line="560" w:lineRule="exact"/>
        <w:ind w:firstLine="642" w:firstLineChars="200"/>
        <w:textAlignment w:val="baseline"/>
      </w:pPr>
      <w:bookmarkStart w:id="10" w:name="_Toc2068313565_WPSOffice_Level2"/>
      <w:bookmarkStart w:id="11" w:name="_Toc347080992"/>
      <w:r>
        <w:t>一、综合预算收支指标情况</w:t>
      </w:r>
      <w:bookmarkEnd w:id="10"/>
      <w:bookmarkEnd w:id="11"/>
    </w:p>
    <w:p>
      <w:pPr>
        <w:pStyle w:val="5"/>
        <w:pageBreakBefore w:val="0"/>
        <w:widowControl/>
        <w:kinsoku w:val="0"/>
        <w:wordWrap/>
        <w:overflowPunct/>
        <w:topLinePunct w:val="0"/>
        <w:autoSpaceDE w:val="0"/>
        <w:autoSpaceDN w:val="0"/>
        <w:bidi w:val="0"/>
        <w:adjustRightInd w:val="0"/>
        <w:snapToGrid w:val="0"/>
        <w:spacing w:line="560" w:lineRule="exact"/>
        <w:ind w:firstLine="642" w:firstLineChars="200"/>
        <w:textAlignment w:val="baseline"/>
      </w:pPr>
      <w:r>
        <w:t>(一)收入预算</w:t>
      </w:r>
      <w:r>
        <w:rPr>
          <w:rFonts w:hint="eastAsia"/>
          <w:lang w:val="en-US" w:eastAsia="zh-CN"/>
        </w:rPr>
        <w:t>389.56</w:t>
      </w:r>
      <w:r>
        <w:t>万元 ，其中：</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1.一般公共预算拨款收入</w:t>
      </w:r>
      <w:r>
        <w:rPr>
          <w:rFonts w:hint="eastAsia" w:ascii="仿宋_GB2312" w:hAnsi="仿宋_GB2312" w:eastAsia="仿宋_GB2312" w:cs="仿宋_GB2312"/>
          <w:lang w:val="en-US" w:eastAsia="zh-CN"/>
        </w:rPr>
        <w:t>389.56</w:t>
      </w:r>
      <w:r>
        <w:rPr>
          <w:rFonts w:hint="eastAsia" w:ascii="仿宋_GB2312" w:hAnsi="仿宋_GB2312" w:eastAsia="仿宋_GB2312" w:cs="仿宋_GB2312"/>
        </w:rPr>
        <w:t>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2.政府性基金预算拨款收入</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3.国有资本经营预算拨款收入</w:t>
      </w:r>
      <w:r>
        <w:rPr>
          <w:rFonts w:hint="eastAsia" w:ascii="仿宋_GB2312" w:hAnsi="仿宋_GB2312" w:eastAsia="仿宋_GB2312" w:cs="仿宋_GB2312"/>
          <w:lang w:val="en-US" w:eastAsia="zh-CN"/>
        </w:rPr>
        <w:t>0</w:t>
      </w:r>
      <w:r>
        <w:rPr>
          <w:rFonts w:hint="eastAsia" w:ascii="仿宋_GB2312" w:hAnsi="仿宋_GB2312" w:eastAsia="仿宋_GB2312" w:cs="仿宋_GB2312"/>
        </w:rPr>
        <w:t xml:space="preserve">万元；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4.财政专户管理资金收入</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5.单位资金收入</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万元，其中：事业收入</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万元，事业单位经营收入</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万元，上级补助收入</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万元，附属单位上缴收入</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万元，其他收入</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lang w:val="en-US" w:eastAsia="zh-CN"/>
        </w:rPr>
      </w:pPr>
      <w:r>
        <w:rPr>
          <w:rFonts w:hint="eastAsia" w:ascii="仿宋_GB2312" w:hAnsi="仿宋_GB2312" w:eastAsia="仿宋_GB2312" w:cs="仿宋_GB2312"/>
        </w:rPr>
        <w:t>6.上年结转结余</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r>
        <w:rPr>
          <w:rFonts w:hint="eastAsia" w:ascii="仿宋_GB2312" w:hAnsi="仿宋_GB2312" w:eastAsia="仿宋_GB2312" w:cs="仿宋_GB2312"/>
          <w:lang w:val="en-US" w:eastAsia="zh-CN"/>
        </w:rPr>
        <w:t>其中上年财政专户管理资金超收收入0万元，政府性基金预算超收收入0万元，单位资金超收收入0万元。</w:t>
      </w:r>
    </w:p>
    <w:p>
      <w:pPr>
        <w:pStyle w:val="5"/>
        <w:pageBreakBefore w:val="0"/>
        <w:widowControl/>
        <w:kinsoku w:val="0"/>
        <w:wordWrap/>
        <w:overflowPunct/>
        <w:topLinePunct w:val="0"/>
        <w:autoSpaceDE w:val="0"/>
        <w:autoSpaceDN w:val="0"/>
        <w:bidi w:val="0"/>
        <w:adjustRightInd w:val="0"/>
        <w:snapToGrid w:val="0"/>
        <w:spacing w:line="560" w:lineRule="exact"/>
        <w:ind w:firstLine="642" w:firstLineChars="200"/>
        <w:textAlignment w:val="baseline"/>
      </w:pPr>
      <w:r>
        <w:t>(二)支出预算</w:t>
      </w:r>
      <w:r>
        <w:rPr>
          <w:rFonts w:hint="eastAsia"/>
          <w:lang w:val="en-US" w:eastAsia="zh-CN"/>
        </w:rPr>
        <w:t>389.56</w:t>
      </w:r>
      <w:r>
        <w:t>万元，其中：</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1.基本支出</w:t>
      </w:r>
      <w:r>
        <w:rPr>
          <w:rFonts w:hint="eastAsia" w:ascii="仿宋_GB2312" w:hAnsi="仿宋_GB2312" w:eastAsia="仿宋_GB2312" w:cs="仿宋_GB2312"/>
          <w:lang w:val="en-US" w:eastAsia="zh-CN"/>
        </w:rPr>
        <w:t>389.56</w:t>
      </w:r>
      <w:r>
        <w:rPr>
          <w:rFonts w:hint="eastAsia" w:ascii="仿宋_GB2312" w:hAnsi="仿宋_GB2312" w:eastAsia="仿宋_GB2312" w:cs="仿宋_GB2312"/>
        </w:rPr>
        <w:t>万元</w:t>
      </w:r>
      <w:r>
        <w:rPr>
          <w:rFonts w:hint="eastAsia" w:ascii="仿宋_GB2312" w:hAnsi="仿宋_GB2312" w:eastAsia="仿宋_GB2312" w:cs="仿宋_GB2312"/>
          <w:lang w:eastAsia="zh-CN"/>
        </w:rPr>
        <w:t>。</w:t>
      </w:r>
      <w:r>
        <w:rPr>
          <w:rFonts w:hint="eastAsia" w:ascii="仿宋_GB2312" w:hAnsi="仿宋_GB2312" w:eastAsia="仿宋_GB2312" w:cs="仿宋_GB231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2.项目支出</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在支出预算中债务支出</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万元；政府采购支出</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万元；政府购买服务支出</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万元；纳入预算绩效管理的特定目标类和其他运转类项目共</w:t>
      </w:r>
      <w:r>
        <w:rPr>
          <w:rFonts w:hint="eastAsia" w:ascii="仿宋_GB2312" w:hAnsi="仿宋_GB2312" w:eastAsia="仿宋_GB2312" w:cs="仿宋_GB2312"/>
          <w:lang w:val="en-US" w:eastAsia="zh-CN"/>
        </w:rPr>
        <w:t>0</w:t>
      </w:r>
      <w:r>
        <w:rPr>
          <w:rFonts w:hint="eastAsia" w:ascii="仿宋_GB2312" w:hAnsi="仿宋_GB2312" w:eastAsia="仿宋_GB2312" w:cs="仿宋_GB2312"/>
        </w:rPr>
        <w:t>个，涉及资金</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lang w:val="en-US" w:eastAsia="zh-CN"/>
        </w:rPr>
        <w:t>2025</w:t>
      </w:r>
      <w:r>
        <w:rPr>
          <w:rFonts w:hint="eastAsia" w:ascii="仿宋_GB2312" w:hAnsi="仿宋_GB2312" w:eastAsia="仿宋_GB2312" w:cs="仿宋_GB2312"/>
        </w:rPr>
        <w:t>年预算收支比上年减少</w:t>
      </w:r>
      <w:r>
        <w:rPr>
          <w:rFonts w:hint="eastAsia" w:ascii="仿宋_GB2312" w:hAnsi="仿宋_GB2312" w:eastAsia="仿宋_GB2312" w:cs="仿宋_GB2312"/>
          <w:lang w:val="en-US" w:eastAsia="zh-CN"/>
        </w:rPr>
        <w:t>55.76</w:t>
      </w:r>
      <w:r>
        <w:rPr>
          <w:rFonts w:hint="eastAsia" w:ascii="仿宋_GB2312" w:hAnsi="仿宋_GB2312" w:eastAsia="仿宋_GB2312" w:cs="仿宋_GB2312"/>
        </w:rPr>
        <w:t>万元，</w:t>
      </w:r>
      <w:r>
        <w:rPr>
          <w:rFonts w:hint="eastAsia" w:ascii="仿宋_GB2312" w:hAnsi="仿宋_GB2312" w:eastAsia="仿宋_GB2312" w:cs="仿宋_GB2312"/>
          <w:lang w:eastAsia="zh-CN"/>
        </w:rPr>
        <w:t>减少</w:t>
      </w:r>
      <w:r>
        <w:rPr>
          <w:rFonts w:hint="eastAsia" w:ascii="仿宋_GB2312" w:hAnsi="仿宋_GB2312" w:eastAsia="仿宋_GB2312" w:cs="仿宋_GB2312"/>
        </w:rPr>
        <w:t>主要原因为</w:t>
      </w:r>
      <w:r>
        <w:rPr>
          <w:rFonts w:hint="eastAsia" w:ascii="仿宋_GB2312" w:hAnsi="仿宋_GB2312" w:eastAsia="仿宋_GB2312" w:cs="仿宋_GB2312"/>
          <w:lang w:eastAsia="zh-CN"/>
        </w:rPr>
        <w:t>人员经费的减少</w:t>
      </w:r>
      <w:r>
        <w:rPr>
          <w:rFonts w:hint="eastAsia" w:ascii="仿宋_GB2312" w:hAnsi="仿宋_GB2312" w:eastAsia="仿宋_GB2312" w:cs="仿宋_GB2312"/>
        </w:rPr>
        <w:t>。</w:t>
      </w:r>
    </w:p>
    <w:p>
      <w:pPr>
        <w:pStyle w:val="4"/>
        <w:pageBreakBefore w:val="0"/>
        <w:widowControl/>
        <w:kinsoku w:val="0"/>
        <w:wordWrap/>
        <w:overflowPunct/>
        <w:topLinePunct w:val="0"/>
        <w:autoSpaceDE w:val="0"/>
        <w:autoSpaceDN w:val="0"/>
        <w:bidi w:val="0"/>
        <w:adjustRightInd w:val="0"/>
        <w:snapToGrid w:val="0"/>
        <w:spacing w:line="560" w:lineRule="exact"/>
        <w:ind w:firstLine="642" w:firstLineChars="200"/>
        <w:textAlignment w:val="baseline"/>
      </w:pPr>
      <w:bookmarkStart w:id="12" w:name="_Toc808183363_WPSOffice_Level2"/>
      <w:bookmarkStart w:id="13" w:name="_Toc1412035388"/>
      <w:r>
        <w:t>二、部门管理专项资金情况</w:t>
      </w:r>
      <w:bookmarkEnd w:id="12"/>
      <w:bookmarkEnd w:id="13"/>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lang w:val="en-US" w:eastAsia="zh-CN"/>
        </w:rPr>
        <w:t>2025</w:t>
      </w:r>
      <w:r>
        <w:rPr>
          <w:rFonts w:hint="eastAsia" w:ascii="仿宋_GB2312" w:hAnsi="仿宋_GB2312" w:eastAsia="仿宋_GB2312" w:cs="仿宋_GB2312"/>
        </w:rPr>
        <w:t>年</w:t>
      </w:r>
      <w:r>
        <w:rPr>
          <w:rFonts w:hint="eastAsia" w:ascii="仿宋_GB2312" w:hAnsi="仿宋_GB2312" w:eastAsia="仿宋_GB2312" w:cs="仿宋_GB2312"/>
          <w:lang w:eastAsia="zh-CN"/>
        </w:rPr>
        <w:t>朝阳市供销社</w:t>
      </w:r>
      <w:r>
        <w:rPr>
          <w:rFonts w:hint="eastAsia" w:ascii="仿宋_GB2312" w:hAnsi="仿宋_GB2312" w:eastAsia="仿宋_GB2312" w:cs="仿宋_GB2312"/>
        </w:rPr>
        <w:t>管理专项资金共</w:t>
      </w:r>
      <w:r>
        <w:rPr>
          <w:rFonts w:hint="eastAsia" w:ascii="仿宋_GB2312" w:hAnsi="仿宋_GB2312" w:eastAsia="仿宋_GB2312" w:cs="仿宋_GB2312"/>
          <w:lang w:val="en-US" w:eastAsia="zh-CN"/>
        </w:rPr>
        <w:t>0</w:t>
      </w:r>
      <w:r>
        <w:rPr>
          <w:rFonts w:hint="eastAsia" w:ascii="仿宋_GB2312" w:hAnsi="仿宋_GB2312" w:eastAsia="仿宋_GB2312" w:cs="仿宋_GB2312"/>
        </w:rPr>
        <w:t>个，涉及资金</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p>
    <w:p>
      <w:pPr>
        <w:pStyle w:val="4"/>
        <w:pageBreakBefore w:val="0"/>
        <w:widowControl/>
        <w:kinsoku w:val="0"/>
        <w:wordWrap/>
        <w:overflowPunct/>
        <w:topLinePunct w:val="0"/>
        <w:autoSpaceDE w:val="0"/>
        <w:autoSpaceDN w:val="0"/>
        <w:bidi w:val="0"/>
        <w:adjustRightInd w:val="0"/>
        <w:snapToGrid w:val="0"/>
        <w:spacing w:line="560" w:lineRule="exact"/>
        <w:ind w:firstLine="642" w:firstLineChars="200"/>
        <w:textAlignment w:val="baseline"/>
      </w:pPr>
      <w:bookmarkStart w:id="14" w:name="_Toc1002957783_WPSOffice_Level2"/>
      <w:bookmarkStart w:id="15" w:name="_Toc1232705327"/>
      <w:r>
        <w:t>三、机关运行经费安排情况</w:t>
      </w:r>
      <w:bookmarkEnd w:id="14"/>
      <w:bookmarkEnd w:id="15"/>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pPr>
      <w:r>
        <w:rPr>
          <w:rFonts w:hint="eastAsia" w:ascii="仿宋_GB2312" w:hAnsi="仿宋_GB2312" w:eastAsia="仿宋_GB2312" w:cs="仿宋_GB2312"/>
          <w:lang w:val="en-US" w:eastAsia="zh-CN"/>
        </w:rPr>
        <w:t>2025</w:t>
      </w:r>
      <w:r>
        <w:rPr>
          <w:rFonts w:hint="eastAsia" w:ascii="仿宋_GB2312" w:hAnsi="仿宋_GB2312" w:eastAsia="仿宋_GB2312" w:cs="仿宋_GB2312"/>
        </w:rPr>
        <w:t>年</w:t>
      </w:r>
      <w:r>
        <w:rPr>
          <w:rFonts w:hint="eastAsia" w:ascii="仿宋_GB2312" w:hAnsi="仿宋_GB2312" w:eastAsia="仿宋_GB2312" w:cs="仿宋_GB2312"/>
          <w:lang w:eastAsia="zh-CN"/>
        </w:rPr>
        <w:t>朝阳市供销社</w:t>
      </w:r>
      <w:r>
        <w:rPr>
          <w:rFonts w:hint="eastAsia" w:ascii="仿宋_GB2312" w:hAnsi="仿宋_GB2312" w:eastAsia="仿宋_GB2312" w:cs="仿宋_GB2312"/>
        </w:rPr>
        <w:t>机关运行经费预算为</w:t>
      </w:r>
      <w:r>
        <w:rPr>
          <w:rFonts w:hint="eastAsia" w:ascii="仿宋_GB2312" w:hAnsi="仿宋_GB2312" w:eastAsia="仿宋_GB2312" w:cs="仿宋_GB2312"/>
          <w:lang w:val="en-US" w:eastAsia="zh-CN"/>
        </w:rPr>
        <w:t>25.73</w:t>
      </w:r>
      <w:r>
        <w:rPr>
          <w:rFonts w:hint="eastAsia" w:ascii="仿宋_GB2312" w:hAnsi="仿宋_GB2312" w:eastAsia="仿宋_GB2312" w:cs="仿宋_GB2312"/>
        </w:rPr>
        <w:t>万元，主要包括</w:t>
      </w:r>
      <w:r>
        <w:rPr>
          <w:rFonts w:hint="eastAsia" w:ascii="仿宋_GB2312" w:hAnsi="仿宋_GB2312" w:eastAsia="仿宋_GB2312" w:cs="仿宋_GB2312"/>
          <w:lang w:eastAsia="zh-CN"/>
        </w:rPr>
        <w:t>办公费</w:t>
      </w:r>
      <w:r>
        <w:rPr>
          <w:rFonts w:hint="eastAsia" w:ascii="仿宋_GB2312" w:hAnsi="仿宋_GB2312" w:eastAsia="仿宋_GB2312" w:cs="仿宋_GB2312"/>
          <w:lang w:val="en-US" w:eastAsia="zh-CN"/>
        </w:rPr>
        <w:t>5.51万元、印刷费0.10万元、邮电费0.40万元、差旅费5.00万元、会议费0.20万元、培训费0.20万元、劳务费8.36万元、公务用车维护费2.05万元、其他商品和服务支出3.61万元、对个人和家庭的补助0.30万元</w:t>
      </w:r>
      <w:r>
        <w:rPr>
          <w:rFonts w:hint="eastAsia" w:ascii="仿宋_GB2312" w:hAnsi="仿宋_GB2312" w:eastAsia="仿宋_GB2312" w:cs="仿宋_GB2312"/>
        </w:rPr>
        <w:t>。</w:t>
      </w:r>
    </w:p>
    <w:p>
      <w:pPr>
        <w:pStyle w:val="4"/>
        <w:pageBreakBefore w:val="0"/>
        <w:widowControl/>
        <w:kinsoku w:val="0"/>
        <w:wordWrap/>
        <w:overflowPunct/>
        <w:topLinePunct w:val="0"/>
        <w:autoSpaceDE w:val="0"/>
        <w:autoSpaceDN w:val="0"/>
        <w:bidi w:val="0"/>
        <w:adjustRightInd w:val="0"/>
        <w:snapToGrid w:val="0"/>
        <w:spacing w:line="560" w:lineRule="exact"/>
        <w:ind w:firstLine="642" w:firstLineChars="200"/>
        <w:textAlignment w:val="baseline"/>
      </w:pPr>
      <w:bookmarkStart w:id="16" w:name="_Toc210405334_WPSOffice_Level2"/>
      <w:bookmarkStart w:id="17" w:name="_Toc2140653051"/>
      <w:r>
        <w:t>四、政府采购情况</w:t>
      </w:r>
      <w:bookmarkEnd w:id="16"/>
      <w:bookmarkEnd w:id="17"/>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pPr>
      <w:r>
        <w:rPr>
          <w:rFonts w:hint="eastAsia" w:ascii="仿宋_GB2312" w:hAnsi="仿宋_GB2312" w:eastAsia="仿宋_GB2312" w:cs="仿宋_GB2312"/>
          <w:lang w:val="en-US" w:eastAsia="zh-CN"/>
        </w:rPr>
        <w:t>2025</w:t>
      </w:r>
      <w:r>
        <w:rPr>
          <w:rFonts w:hint="eastAsia" w:ascii="仿宋_GB2312" w:hAnsi="仿宋_GB2312" w:eastAsia="仿宋_GB2312" w:cs="仿宋_GB2312"/>
        </w:rPr>
        <w:t>年</w:t>
      </w:r>
      <w:r>
        <w:rPr>
          <w:rFonts w:hint="eastAsia" w:ascii="仿宋_GB2312" w:hAnsi="仿宋_GB2312" w:eastAsia="仿宋_GB2312" w:cs="仿宋_GB2312"/>
          <w:lang w:eastAsia="zh-CN"/>
        </w:rPr>
        <w:t>朝阳市供销社</w:t>
      </w:r>
      <w:r>
        <w:rPr>
          <w:rFonts w:hint="eastAsia" w:ascii="仿宋_GB2312" w:hAnsi="仿宋_GB2312" w:eastAsia="仿宋_GB2312" w:cs="仿宋_GB2312"/>
        </w:rPr>
        <w:t>安排政府采购预算</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万元，具体为货物</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万元，服务</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万元，工程</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万元；预留面向中小企业采购份额</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万元，其中预留给小微企业</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r>
        <w:t>。</w:t>
      </w:r>
    </w:p>
    <w:p>
      <w:pPr>
        <w:pStyle w:val="4"/>
        <w:pageBreakBefore w:val="0"/>
        <w:widowControl/>
        <w:kinsoku w:val="0"/>
        <w:wordWrap/>
        <w:overflowPunct/>
        <w:topLinePunct w:val="0"/>
        <w:autoSpaceDE w:val="0"/>
        <w:autoSpaceDN w:val="0"/>
        <w:bidi w:val="0"/>
        <w:adjustRightInd w:val="0"/>
        <w:snapToGrid w:val="0"/>
        <w:spacing w:line="560" w:lineRule="exact"/>
        <w:ind w:firstLine="642" w:firstLineChars="200"/>
        <w:textAlignment w:val="baseline"/>
      </w:pPr>
      <w:bookmarkStart w:id="18" w:name="_Toc243746895_WPSOffice_Level2"/>
      <w:bookmarkStart w:id="19" w:name="_Toc627889001"/>
      <w:r>
        <w:t>五、“三公”经费预算情况</w:t>
      </w:r>
      <w:bookmarkEnd w:id="18"/>
      <w:bookmarkEnd w:id="19"/>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lang w:val="en-US" w:eastAsia="zh-CN"/>
        </w:rPr>
        <w:t>2025</w:t>
      </w:r>
      <w:r>
        <w:rPr>
          <w:rFonts w:hint="eastAsia" w:ascii="仿宋_GB2312" w:hAnsi="仿宋_GB2312" w:eastAsia="仿宋_GB2312" w:cs="仿宋_GB2312"/>
        </w:rPr>
        <w:t>年</w:t>
      </w:r>
      <w:r>
        <w:rPr>
          <w:rFonts w:hint="eastAsia" w:ascii="仿宋_GB2312" w:hAnsi="仿宋_GB2312" w:eastAsia="仿宋_GB2312" w:cs="仿宋_GB2312"/>
          <w:lang w:eastAsia="zh-CN"/>
        </w:rPr>
        <w:t>朝阳市供销社</w:t>
      </w:r>
      <w:r>
        <w:rPr>
          <w:rFonts w:hint="eastAsia" w:ascii="仿宋_GB2312" w:hAnsi="仿宋_GB2312" w:eastAsia="仿宋_GB2312" w:cs="仿宋_GB2312"/>
        </w:rPr>
        <w:t>财政拨款预算安排的“三公”经费预算为</w:t>
      </w:r>
      <w:r>
        <w:rPr>
          <w:rFonts w:hint="eastAsia" w:ascii="仿宋_GB2312" w:hAnsi="仿宋_GB2312" w:eastAsia="仿宋_GB2312" w:cs="仿宋_GB2312"/>
          <w:lang w:val="en-US" w:eastAsia="zh-CN"/>
        </w:rPr>
        <w:t>2.05</w:t>
      </w:r>
      <w:r>
        <w:rPr>
          <w:rFonts w:hint="eastAsia" w:ascii="仿宋_GB2312" w:hAnsi="仿宋_GB2312" w:eastAsia="仿宋_GB2312" w:cs="仿宋_GB2312"/>
        </w:rPr>
        <w:t>万元，比上年减少</w:t>
      </w:r>
      <w:r>
        <w:rPr>
          <w:rFonts w:hint="eastAsia" w:ascii="仿宋_GB2312" w:hAnsi="仿宋_GB2312" w:eastAsia="仿宋_GB2312" w:cs="仿宋_GB2312"/>
          <w:lang w:val="en-US" w:eastAsia="zh-CN"/>
        </w:rPr>
        <w:t>0.45</w:t>
      </w:r>
      <w:r>
        <w:rPr>
          <w:rFonts w:hint="eastAsia" w:ascii="仿宋_GB2312" w:hAnsi="仿宋_GB2312" w:eastAsia="仿宋_GB2312" w:cs="仿宋_GB2312"/>
        </w:rPr>
        <w:t>万元，下降</w:t>
      </w:r>
      <w:r>
        <w:rPr>
          <w:rFonts w:hint="eastAsia" w:ascii="仿宋_GB2312" w:hAnsi="仿宋_GB2312" w:eastAsia="仿宋_GB2312" w:cs="仿宋_GB2312"/>
          <w:lang w:val="en-US" w:eastAsia="zh-CN"/>
        </w:rPr>
        <w:t>18</w:t>
      </w:r>
      <w:r>
        <w:rPr>
          <w:rFonts w:hint="eastAsia" w:ascii="仿宋_GB2312" w:hAnsi="仿宋_GB2312" w:eastAsia="仿宋_GB2312" w:cs="仿宋_GB2312"/>
        </w:rPr>
        <w:t>%。其中：</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1.因公出国(境)费</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r>
        <w:rPr>
          <w:rFonts w:hint="eastAsia" w:ascii="仿宋_GB2312" w:hAnsi="仿宋_GB2312" w:eastAsia="仿宋_GB2312" w:cs="仿宋_GB2312"/>
          <w:lang w:eastAsia="zh-CN"/>
        </w:rPr>
        <w:t>与上年一致</w:t>
      </w:r>
      <w:r>
        <w:rPr>
          <w:rFonts w:hint="eastAsia" w:ascii="仿宋_GB2312" w:hAnsi="仿宋_GB2312" w:eastAsia="仿宋_GB2312" w:cs="仿宋_GB231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2.公务接待费</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r>
        <w:rPr>
          <w:rFonts w:hint="eastAsia" w:ascii="仿宋_GB2312" w:hAnsi="仿宋_GB2312" w:eastAsia="仿宋_GB2312" w:cs="仿宋_GB2312"/>
          <w:lang w:eastAsia="zh-CN"/>
        </w:rPr>
        <w:t>与上年一致</w:t>
      </w:r>
      <w:r>
        <w:rPr>
          <w:rFonts w:hint="eastAsia" w:ascii="仿宋_GB2312" w:hAnsi="仿宋_GB2312" w:eastAsia="仿宋_GB2312" w:cs="仿宋_GB231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3.公务用车购置及运行费</w:t>
      </w:r>
      <w:r>
        <w:rPr>
          <w:rFonts w:hint="eastAsia" w:ascii="仿宋_GB2312" w:hAnsi="仿宋_GB2312" w:eastAsia="仿宋_GB2312" w:cs="仿宋_GB2312"/>
          <w:lang w:val="en-US" w:eastAsia="zh-CN"/>
        </w:rPr>
        <w:t>2.05</w:t>
      </w:r>
      <w:r>
        <w:rPr>
          <w:rFonts w:hint="eastAsia" w:ascii="仿宋_GB2312" w:hAnsi="仿宋_GB2312" w:eastAsia="仿宋_GB2312" w:cs="仿宋_GB2312"/>
        </w:rPr>
        <w:t>万元(其中：公务用车购置费</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w:t>
      </w:r>
      <w:r>
        <w:rPr>
          <w:rFonts w:hint="eastAsia" w:ascii="仿宋_GB2312" w:hAnsi="仿宋_GB2312" w:eastAsia="仿宋_GB2312" w:cs="仿宋_GB2312"/>
          <w:lang w:eastAsia="zh-CN"/>
        </w:rPr>
        <w:t>与上年一致</w:t>
      </w:r>
      <w:r>
        <w:rPr>
          <w:rFonts w:hint="eastAsia" w:ascii="仿宋_GB2312" w:hAnsi="仿宋_GB2312" w:eastAsia="仿宋_GB2312" w:cs="仿宋_GB2312"/>
        </w:rPr>
        <w:t>;公务用车运行费</w:t>
      </w:r>
      <w:r>
        <w:rPr>
          <w:rFonts w:hint="eastAsia" w:ascii="仿宋_GB2312" w:hAnsi="仿宋_GB2312" w:eastAsia="仿宋_GB2312" w:cs="仿宋_GB2312"/>
          <w:lang w:val="en-US" w:eastAsia="zh-CN"/>
        </w:rPr>
        <w:t>2.05</w:t>
      </w:r>
      <w:r>
        <w:rPr>
          <w:rFonts w:hint="eastAsia" w:ascii="仿宋_GB2312" w:hAnsi="仿宋_GB2312" w:eastAsia="仿宋_GB2312" w:cs="仿宋_GB2312"/>
        </w:rPr>
        <w:t>万元，比上年减少</w:t>
      </w:r>
      <w:r>
        <w:rPr>
          <w:rFonts w:hint="eastAsia" w:ascii="仿宋_GB2312" w:hAnsi="仿宋_GB2312" w:eastAsia="仿宋_GB2312" w:cs="仿宋_GB2312"/>
          <w:lang w:val="en-US" w:eastAsia="zh-CN"/>
        </w:rPr>
        <w:t>0.45</w:t>
      </w:r>
      <w:r>
        <w:rPr>
          <w:rFonts w:hint="eastAsia" w:ascii="仿宋_GB2312" w:hAnsi="仿宋_GB2312" w:eastAsia="仿宋_GB2312" w:cs="仿宋_GB2312"/>
        </w:rPr>
        <w:t>万元，下降</w:t>
      </w:r>
      <w:r>
        <w:rPr>
          <w:rFonts w:hint="eastAsia" w:ascii="仿宋_GB2312" w:hAnsi="仿宋_GB2312" w:eastAsia="仿宋_GB2312" w:cs="仿宋_GB2312"/>
          <w:lang w:val="en-US" w:eastAsia="zh-CN"/>
        </w:rPr>
        <w:t>18</w:t>
      </w:r>
      <w:r>
        <w:rPr>
          <w:rFonts w:hint="eastAsia" w:ascii="仿宋_GB2312" w:hAnsi="仿宋_GB2312" w:eastAsia="仿宋_GB2312" w:cs="仿宋_GB2312"/>
        </w:rPr>
        <w:t>%, 主要原因是</w:t>
      </w:r>
      <w:r>
        <w:rPr>
          <w:rFonts w:hint="eastAsia" w:ascii="仿宋_GB2312" w:hAnsi="仿宋_GB2312" w:eastAsia="仿宋_GB2312" w:cs="仿宋_GB2312"/>
          <w:lang w:eastAsia="zh-CN"/>
        </w:rPr>
        <w:t>严控三公经费</w:t>
      </w:r>
      <w:r>
        <w:rPr>
          <w:rFonts w:hint="eastAsia" w:ascii="仿宋_GB2312" w:hAnsi="仿宋_GB2312" w:eastAsia="仿宋_GB2312" w:cs="仿宋_GB2312"/>
        </w:rPr>
        <w:t>。</w:t>
      </w:r>
    </w:p>
    <w:p>
      <w:pPr>
        <w:pageBreakBefore w:val="0"/>
        <w:widowControl/>
        <w:kinsoku w:val="0"/>
        <w:wordWrap/>
        <w:overflowPunct/>
        <w:topLinePunct w:val="0"/>
        <w:autoSpaceDE w:val="0"/>
        <w:autoSpaceDN w:val="0"/>
        <w:bidi w:val="0"/>
        <w:adjustRightInd w:val="0"/>
        <w:snapToGrid w:val="0"/>
        <w:spacing w:before="101" w:line="560" w:lineRule="exact"/>
        <w:ind w:left="2204"/>
        <w:textAlignment w:val="baseline"/>
        <w:rPr>
          <w:rFonts w:ascii="宋体" w:hAnsi="宋体" w:eastAsia="宋体" w:cs="宋体"/>
          <w:sz w:val="31"/>
          <w:szCs w:val="31"/>
        </w:rPr>
      </w:pPr>
      <w:r>
        <w:rPr>
          <w:rFonts w:ascii="宋体" w:hAnsi="宋体" w:eastAsia="宋体" w:cs="宋体"/>
          <w:spacing w:val="-20"/>
          <w:sz w:val="31"/>
          <w:szCs w:val="31"/>
        </w:rPr>
        <w:t>财政拨款预算“三公”经费支出表</w:t>
      </w:r>
    </w:p>
    <w:p>
      <w:pPr>
        <w:pageBreakBefore w:val="0"/>
        <w:widowControl/>
        <w:kinsoku w:val="0"/>
        <w:wordWrap/>
        <w:overflowPunct/>
        <w:topLinePunct w:val="0"/>
        <w:autoSpaceDE w:val="0"/>
        <w:autoSpaceDN w:val="0"/>
        <w:bidi w:val="0"/>
        <w:adjustRightInd w:val="0"/>
        <w:snapToGrid w:val="0"/>
        <w:spacing w:before="249" w:line="560" w:lineRule="exact"/>
        <w:ind w:left="7345"/>
        <w:textAlignment w:val="baseline"/>
        <w:rPr>
          <w:rFonts w:ascii="宋体" w:hAnsi="宋体" w:eastAsia="宋体" w:cs="宋体"/>
          <w:sz w:val="23"/>
          <w:szCs w:val="23"/>
        </w:rPr>
      </w:pPr>
      <w:r>
        <w:rPr>
          <w:rFonts w:ascii="宋体" w:hAnsi="宋体" w:eastAsia="宋体" w:cs="宋体"/>
          <w:spacing w:val="-2"/>
          <w:sz w:val="23"/>
          <w:szCs w:val="23"/>
        </w:rPr>
        <w:t>单位：万元</w:t>
      </w:r>
    </w:p>
    <w:p>
      <w:pPr>
        <w:pageBreakBefore w:val="0"/>
        <w:widowControl/>
        <w:kinsoku w:val="0"/>
        <w:wordWrap/>
        <w:overflowPunct/>
        <w:topLinePunct w:val="0"/>
        <w:autoSpaceDE w:val="0"/>
        <w:autoSpaceDN w:val="0"/>
        <w:bidi w:val="0"/>
        <w:adjustRightInd w:val="0"/>
        <w:snapToGrid w:val="0"/>
        <w:spacing w:line="560" w:lineRule="exact"/>
        <w:textAlignment w:val="baseline"/>
      </w:pPr>
    </w:p>
    <w:tbl>
      <w:tblPr>
        <w:tblStyle w:val="14"/>
        <w:tblW w:w="8579" w:type="dxa"/>
        <w:tblInd w:w="1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51"/>
        <w:gridCol w:w="2738"/>
        <w:gridCol w:w="24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3351" w:type="dxa"/>
            <w:vMerge w:val="restart"/>
            <w:tcBorders>
              <w:bottom w:val="nil"/>
            </w:tcBorders>
            <w:vAlign w:val="top"/>
          </w:tcPr>
          <w:p>
            <w:pPr>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pPr>
              <w:pageBreakBefore w:val="0"/>
              <w:widowControl/>
              <w:kinsoku w:val="0"/>
              <w:wordWrap/>
              <w:overflowPunct/>
              <w:topLinePunct w:val="0"/>
              <w:autoSpaceDE w:val="0"/>
              <w:autoSpaceDN w:val="0"/>
              <w:bidi w:val="0"/>
              <w:adjustRightInd w:val="0"/>
              <w:snapToGrid w:val="0"/>
              <w:spacing w:before="78" w:line="560" w:lineRule="exact"/>
              <w:ind w:left="1415"/>
              <w:textAlignment w:val="baseline"/>
              <w:rPr>
                <w:rFonts w:ascii="宋体" w:hAnsi="宋体" w:eastAsia="宋体" w:cs="宋体"/>
                <w:sz w:val="24"/>
                <w:szCs w:val="24"/>
              </w:rPr>
            </w:pPr>
            <w:r>
              <w:rPr>
                <w:rFonts w:ascii="宋体" w:hAnsi="宋体" w:eastAsia="宋体" w:cs="宋体"/>
                <w:spacing w:val="-7"/>
                <w:sz w:val="24"/>
                <w:szCs w:val="24"/>
              </w:rPr>
              <w:t>项 目</w:t>
            </w:r>
          </w:p>
        </w:tc>
        <w:tc>
          <w:tcPr>
            <w:tcW w:w="5228" w:type="dxa"/>
            <w:gridSpan w:val="2"/>
            <w:vAlign w:val="top"/>
          </w:tcPr>
          <w:p>
            <w:pPr>
              <w:pageBreakBefore w:val="0"/>
              <w:widowControl/>
              <w:kinsoku w:val="0"/>
              <w:wordWrap/>
              <w:overflowPunct/>
              <w:topLinePunct w:val="0"/>
              <w:autoSpaceDE w:val="0"/>
              <w:autoSpaceDN w:val="0"/>
              <w:bidi w:val="0"/>
              <w:adjustRightInd w:val="0"/>
              <w:snapToGrid w:val="0"/>
              <w:spacing w:before="245" w:line="560" w:lineRule="exact"/>
              <w:ind w:left="2324"/>
              <w:textAlignment w:val="baseline"/>
              <w:rPr>
                <w:rFonts w:ascii="宋体" w:hAnsi="宋体" w:eastAsia="宋体" w:cs="宋体"/>
                <w:sz w:val="24"/>
                <w:szCs w:val="24"/>
              </w:rPr>
            </w:pPr>
            <w:r>
              <w:rPr>
                <w:rFonts w:ascii="宋体" w:hAnsi="宋体" w:eastAsia="宋体" w:cs="宋体"/>
                <w:spacing w:val="4"/>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3351" w:type="dxa"/>
            <w:vMerge w:val="continue"/>
            <w:tcBorders>
              <w:top w:val="nil"/>
            </w:tcBorders>
            <w:vAlign w:val="top"/>
          </w:tcPr>
          <w:p>
            <w:pPr>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tc>
        <w:tc>
          <w:tcPr>
            <w:tcW w:w="2738"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ascii="宋体" w:hAnsi="宋体" w:eastAsia="宋体" w:cs="宋体"/>
                <w:sz w:val="24"/>
                <w:szCs w:val="24"/>
              </w:rPr>
            </w:pPr>
            <w:r>
              <w:rPr>
                <w:rFonts w:hint="eastAsia" w:ascii="宋体" w:hAnsi="宋体" w:eastAsia="宋体" w:cs="宋体"/>
                <w:spacing w:val="1"/>
                <w:sz w:val="24"/>
                <w:szCs w:val="24"/>
                <w:lang w:val="en-US" w:eastAsia="zh-CN"/>
              </w:rPr>
              <w:t>2024</w:t>
            </w:r>
            <w:r>
              <w:rPr>
                <w:rFonts w:ascii="宋体" w:hAnsi="宋体" w:eastAsia="宋体" w:cs="宋体"/>
                <w:spacing w:val="1"/>
                <w:sz w:val="24"/>
                <w:szCs w:val="24"/>
              </w:rPr>
              <w:t>年</w:t>
            </w:r>
          </w:p>
        </w:tc>
        <w:tc>
          <w:tcPr>
            <w:tcW w:w="2490" w:type="dxa"/>
            <w:vAlign w:val="top"/>
          </w:tcPr>
          <w:p>
            <w:pPr>
              <w:pageBreakBefore w:val="0"/>
              <w:widowControl/>
              <w:kinsoku w:val="0"/>
              <w:wordWrap/>
              <w:overflowPunct/>
              <w:topLinePunct w:val="0"/>
              <w:autoSpaceDE w:val="0"/>
              <w:autoSpaceDN w:val="0"/>
              <w:bidi w:val="0"/>
              <w:adjustRightInd w:val="0"/>
              <w:snapToGrid w:val="0"/>
              <w:spacing w:before="241" w:line="560" w:lineRule="exact"/>
              <w:ind w:left="977"/>
              <w:jc w:val="center"/>
              <w:textAlignment w:val="baseline"/>
              <w:rPr>
                <w:rFonts w:ascii="宋体" w:hAnsi="宋体" w:eastAsia="宋体" w:cs="宋体"/>
                <w:sz w:val="24"/>
                <w:szCs w:val="24"/>
              </w:rPr>
            </w:pPr>
            <w:r>
              <w:rPr>
                <w:rFonts w:hint="eastAsia" w:ascii="宋体" w:hAnsi="宋体" w:eastAsia="宋体" w:cs="宋体"/>
                <w:spacing w:val="-2"/>
                <w:sz w:val="24"/>
                <w:szCs w:val="24"/>
                <w:lang w:val="en-US" w:eastAsia="zh-CN"/>
              </w:rPr>
              <w:t>2025</w:t>
            </w:r>
            <w:r>
              <w:rPr>
                <w:rFonts w:ascii="宋体" w:hAnsi="宋体" w:eastAsia="宋体" w:cs="宋体"/>
                <w:spacing w:val="-2"/>
                <w:sz w:val="24"/>
                <w:szCs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3351" w:type="dxa"/>
            <w:vAlign w:val="top"/>
          </w:tcPr>
          <w:p>
            <w:pPr>
              <w:pageBreakBefore w:val="0"/>
              <w:widowControl/>
              <w:kinsoku w:val="0"/>
              <w:wordWrap/>
              <w:overflowPunct/>
              <w:topLinePunct w:val="0"/>
              <w:autoSpaceDE w:val="0"/>
              <w:autoSpaceDN w:val="0"/>
              <w:bidi w:val="0"/>
              <w:adjustRightInd w:val="0"/>
              <w:snapToGrid w:val="0"/>
              <w:spacing w:before="245" w:line="560" w:lineRule="exact"/>
              <w:ind w:left="1435"/>
              <w:textAlignment w:val="baseline"/>
              <w:rPr>
                <w:rFonts w:ascii="宋体" w:hAnsi="宋体" w:eastAsia="宋体" w:cs="宋体"/>
                <w:sz w:val="24"/>
                <w:szCs w:val="24"/>
              </w:rPr>
            </w:pPr>
            <w:r>
              <w:rPr>
                <w:rFonts w:ascii="宋体" w:hAnsi="宋体" w:eastAsia="宋体" w:cs="宋体"/>
                <w:spacing w:val="5"/>
                <w:sz w:val="24"/>
                <w:szCs w:val="24"/>
              </w:rPr>
              <w:t>合计</w:t>
            </w:r>
          </w:p>
        </w:tc>
        <w:tc>
          <w:tcPr>
            <w:tcW w:w="2738"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default"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2.5</w:t>
            </w:r>
          </w:p>
        </w:tc>
        <w:tc>
          <w:tcPr>
            <w:tcW w:w="2490"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default"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3351" w:type="dxa"/>
            <w:vAlign w:val="top"/>
          </w:tcPr>
          <w:p>
            <w:pPr>
              <w:pageBreakBefore w:val="0"/>
              <w:widowControl/>
              <w:kinsoku w:val="0"/>
              <w:wordWrap/>
              <w:overflowPunct/>
              <w:topLinePunct w:val="0"/>
              <w:autoSpaceDE w:val="0"/>
              <w:autoSpaceDN w:val="0"/>
              <w:bidi w:val="0"/>
              <w:adjustRightInd w:val="0"/>
              <w:snapToGrid w:val="0"/>
              <w:spacing w:before="265" w:line="560" w:lineRule="exact"/>
              <w:ind w:left="95"/>
              <w:textAlignment w:val="baseline"/>
              <w:rPr>
                <w:rFonts w:ascii="宋体" w:hAnsi="宋体" w:eastAsia="宋体" w:cs="宋体"/>
                <w:sz w:val="24"/>
                <w:szCs w:val="24"/>
              </w:rPr>
            </w:pPr>
            <w:r>
              <w:rPr>
                <w:rFonts w:ascii="宋体" w:hAnsi="宋体" w:eastAsia="宋体" w:cs="宋体"/>
                <w:spacing w:val="1"/>
                <w:sz w:val="24"/>
                <w:szCs w:val="24"/>
              </w:rPr>
              <w:t>1.因公出国(境)费</w:t>
            </w:r>
          </w:p>
        </w:tc>
        <w:tc>
          <w:tcPr>
            <w:tcW w:w="2738"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eastAsia" w:ascii="宋体" w:hAnsi="宋体" w:eastAsia="宋体" w:cs="宋体"/>
                <w:spacing w:val="1"/>
                <w:sz w:val="24"/>
                <w:szCs w:val="24"/>
                <w:lang w:val="en-US" w:eastAsia="zh-CN"/>
              </w:rPr>
            </w:pPr>
          </w:p>
        </w:tc>
        <w:tc>
          <w:tcPr>
            <w:tcW w:w="2490"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eastAsia" w:ascii="宋体" w:hAnsi="宋体" w:eastAsia="宋体" w:cs="宋体"/>
                <w:spacing w:val="1"/>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3351" w:type="dxa"/>
            <w:vAlign w:val="top"/>
          </w:tcPr>
          <w:p>
            <w:pPr>
              <w:pageBreakBefore w:val="0"/>
              <w:widowControl/>
              <w:kinsoku w:val="0"/>
              <w:wordWrap/>
              <w:overflowPunct/>
              <w:topLinePunct w:val="0"/>
              <w:autoSpaceDE w:val="0"/>
              <w:autoSpaceDN w:val="0"/>
              <w:bidi w:val="0"/>
              <w:adjustRightInd w:val="0"/>
              <w:snapToGrid w:val="0"/>
              <w:spacing w:before="256" w:line="560" w:lineRule="exact"/>
              <w:ind w:left="95"/>
              <w:textAlignment w:val="baseline"/>
              <w:rPr>
                <w:rFonts w:ascii="宋体" w:hAnsi="宋体" w:eastAsia="宋体" w:cs="宋体"/>
                <w:sz w:val="24"/>
                <w:szCs w:val="24"/>
              </w:rPr>
            </w:pPr>
            <w:r>
              <w:rPr>
                <w:rFonts w:ascii="宋体" w:hAnsi="宋体" w:eastAsia="宋体" w:cs="宋体"/>
                <w:spacing w:val="2"/>
                <w:sz w:val="24"/>
                <w:szCs w:val="24"/>
              </w:rPr>
              <w:t>2.公务接待费</w:t>
            </w:r>
          </w:p>
        </w:tc>
        <w:tc>
          <w:tcPr>
            <w:tcW w:w="2738"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eastAsia" w:ascii="宋体" w:hAnsi="宋体" w:eastAsia="宋体" w:cs="宋体"/>
                <w:spacing w:val="1"/>
                <w:sz w:val="24"/>
                <w:szCs w:val="24"/>
                <w:lang w:val="en-US" w:eastAsia="zh-CN"/>
              </w:rPr>
            </w:pPr>
          </w:p>
        </w:tc>
        <w:tc>
          <w:tcPr>
            <w:tcW w:w="2490"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eastAsia" w:ascii="宋体" w:hAnsi="宋体" w:eastAsia="宋体" w:cs="宋体"/>
                <w:spacing w:val="1"/>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3351" w:type="dxa"/>
            <w:vAlign w:val="top"/>
          </w:tcPr>
          <w:p>
            <w:pPr>
              <w:pageBreakBefore w:val="0"/>
              <w:widowControl/>
              <w:kinsoku w:val="0"/>
              <w:wordWrap/>
              <w:overflowPunct/>
              <w:topLinePunct w:val="0"/>
              <w:autoSpaceDE w:val="0"/>
              <w:autoSpaceDN w:val="0"/>
              <w:bidi w:val="0"/>
              <w:adjustRightInd w:val="0"/>
              <w:snapToGrid w:val="0"/>
              <w:spacing w:before="266" w:line="560" w:lineRule="exact"/>
              <w:ind w:left="95"/>
              <w:textAlignment w:val="baseline"/>
              <w:rPr>
                <w:rFonts w:ascii="宋体" w:hAnsi="宋体" w:eastAsia="宋体" w:cs="宋体"/>
                <w:sz w:val="24"/>
                <w:szCs w:val="24"/>
              </w:rPr>
            </w:pPr>
            <w:r>
              <w:rPr>
                <w:rFonts w:ascii="宋体" w:hAnsi="宋体" w:eastAsia="宋体" w:cs="宋体"/>
                <w:spacing w:val="1"/>
                <w:sz w:val="24"/>
                <w:szCs w:val="24"/>
              </w:rPr>
              <w:t>3.公务用车购置及运行费</w:t>
            </w:r>
          </w:p>
        </w:tc>
        <w:tc>
          <w:tcPr>
            <w:tcW w:w="2738"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default"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2.5</w:t>
            </w:r>
          </w:p>
        </w:tc>
        <w:tc>
          <w:tcPr>
            <w:tcW w:w="2490"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default"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3351" w:type="dxa"/>
            <w:vAlign w:val="top"/>
          </w:tcPr>
          <w:p>
            <w:pPr>
              <w:pageBreakBefore w:val="0"/>
              <w:widowControl/>
              <w:kinsoku w:val="0"/>
              <w:wordWrap/>
              <w:overflowPunct/>
              <w:topLinePunct w:val="0"/>
              <w:autoSpaceDE w:val="0"/>
              <w:autoSpaceDN w:val="0"/>
              <w:bidi w:val="0"/>
              <w:adjustRightInd w:val="0"/>
              <w:snapToGrid w:val="0"/>
              <w:spacing w:before="258" w:line="560" w:lineRule="exact"/>
              <w:ind w:left="95"/>
              <w:textAlignment w:val="baseline"/>
              <w:rPr>
                <w:rFonts w:ascii="宋体" w:hAnsi="宋体" w:eastAsia="宋体" w:cs="宋体"/>
                <w:sz w:val="24"/>
                <w:szCs w:val="24"/>
              </w:rPr>
            </w:pPr>
            <w:r>
              <w:rPr>
                <w:rFonts w:ascii="宋体" w:hAnsi="宋体" w:eastAsia="宋体" w:cs="宋体"/>
                <w:spacing w:val="1"/>
                <w:sz w:val="24"/>
                <w:szCs w:val="24"/>
              </w:rPr>
              <w:t>其中：公务用车购置费</w:t>
            </w:r>
          </w:p>
        </w:tc>
        <w:tc>
          <w:tcPr>
            <w:tcW w:w="2738"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eastAsia" w:ascii="宋体" w:hAnsi="宋体" w:eastAsia="宋体" w:cs="宋体"/>
                <w:spacing w:val="1"/>
                <w:sz w:val="24"/>
                <w:szCs w:val="24"/>
                <w:lang w:val="en-US" w:eastAsia="zh-CN"/>
              </w:rPr>
            </w:pPr>
          </w:p>
        </w:tc>
        <w:tc>
          <w:tcPr>
            <w:tcW w:w="2490"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eastAsia" w:ascii="宋体" w:hAnsi="宋体" w:eastAsia="宋体" w:cs="宋体"/>
                <w:spacing w:val="1"/>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trPr>
        <w:tc>
          <w:tcPr>
            <w:tcW w:w="3351" w:type="dxa"/>
            <w:vAlign w:val="top"/>
          </w:tcPr>
          <w:p>
            <w:pPr>
              <w:pageBreakBefore w:val="0"/>
              <w:widowControl/>
              <w:kinsoku w:val="0"/>
              <w:wordWrap/>
              <w:overflowPunct/>
              <w:topLinePunct w:val="0"/>
              <w:autoSpaceDE w:val="0"/>
              <w:autoSpaceDN w:val="0"/>
              <w:bidi w:val="0"/>
              <w:adjustRightInd w:val="0"/>
              <w:snapToGrid w:val="0"/>
              <w:spacing w:before="269" w:line="560" w:lineRule="exact"/>
              <w:ind w:firstLine="732" w:firstLineChars="300"/>
              <w:textAlignment w:val="baseline"/>
              <w:rPr>
                <w:rFonts w:ascii="宋体" w:hAnsi="宋体" w:eastAsia="宋体" w:cs="宋体"/>
                <w:sz w:val="24"/>
                <w:szCs w:val="24"/>
              </w:rPr>
            </w:pPr>
            <w:r>
              <w:rPr>
                <w:rFonts w:ascii="宋体" w:hAnsi="宋体" w:eastAsia="宋体" w:cs="宋体"/>
                <w:spacing w:val="2"/>
                <w:sz w:val="24"/>
                <w:szCs w:val="24"/>
              </w:rPr>
              <w:t>公务用车运行费</w:t>
            </w:r>
          </w:p>
        </w:tc>
        <w:tc>
          <w:tcPr>
            <w:tcW w:w="2738"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default"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2.5</w:t>
            </w:r>
          </w:p>
        </w:tc>
        <w:tc>
          <w:tcPr>
            <w:tcW w:w="2490" w:type="dxa"/>
            <w:vAlign w:val="top"/>
          </w:tcPr>
          <w:p>
            <w:pPr>
              <w:pageBreakBefore w:val="0"/>
              <w:widowControl/>
              <w:kinsoku w:val="0"/>
              <w:wordWrap/>
              <w:overflowPunct/>
              <w:topLinePunct w:val="0"/>
              <w:autoSpaceDE w:val="0"/>
              <w:autoSpaceDN w:val="0"/>
              <w:bidi w:val="0"/>
              <w:adjustRightInd w:val="0"/>
              <w:snapToGrid w:val="0"/>
              <w:spacing w:before="252" w:line="560" w:lineRule="exact"/>
              <w:ind w:left="874"/>
              <w:jc w:val="center"/>
              <w:textAlignment w:val="baseline"/>
              <w:rPr>
                <w:rFonts w:hint="default"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2.05</w:t>
            </w:r>
          </w:p>
        </w:tc>
      </w:tr>
    </w:tbl>
    <w:p>
      <w:pPr>
        <w:pageBreakBefore w:val="0"/>
        <w:widowControl/>
        <w:kinsoku w:val="0"/>
        <w:wordWrap/>
        <w:overflowPunct/>
        <w:topLinePunct w:val="0"/>
        <w:autoSpaceDE w:val="0"/>
        <w:autoSpaceDN w:val="0"/>
        <w:bidi w:val="0"/>
        <w:adjustRightInd w:val="0"/>
        <w:snapToGrid w:val="0"/>
        <w:spacing w:before="171" w:line="560" w:lineRule="exact"/>
        <w:textAlignment w:val="baseline"/>
        <w:outlineLvl w:val="0"/>
        <w:rPr>
          <w:rFonts w:ascii="黑体" w:hAnsi="黑体" w:eastAsia="黑体" w:cs="黑体"/>
          <w:b/>
          <w:bCs/>
          <w:spacing w:val="-6"/>
          <w:sz w:val="31"/>
          <w:szCs w:val="31"/>
        </w:rPr>
      </w:pPr>
    </w:p>
    <w:p>
      <w:pPr>
        <w:pStyle w:val="4"/>
        <w:pageBreakBefore w:val="0"/>
        <w:widowControl/>
        <w:kinsoku w:val="0"/>
        <w:wordWrap/>
        <w:overflowPunct/>
        <w:topLinePunct w:val="0"/>
        <w:autoSpaceDE w:val="0"/>
        <w:autoSpaceDN w:val="0"/>
        <w:bidi w:val="0"/>
        <w:adjustRightInd w:val="0"/>
        <w:snapToGrid w:val="0"/>
        <w:spacing w:line="560" w:lineRule="exact"/>
        <w:textAlignment w:val="baseline"/>
      </w:pPr>
      <w:bookmarkStart w:id="20" w:name="_Toc954580845_WPSOffice_Level2"/>
      <w:bookmarkStart w:id="21" w:name="_Toc1446104327"/>
      <w:r>
        <w:t>六、国有资产占用情况</w:t>
      </w:r>
      <w:bookmarkEnd w:id="20"/>
      <w:bookmarkEnd w:id="21"/>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lang w:eastAsia="zh-CN"/>
        </w:rPr>
        <w:t>朝阳市供销社</w:t>
      </w:r>
      <w:r>
        <w:rPr>
          <w:rFonts w:hint="eastAsia" w:ascii="仿宋_GB2312" w:hAnsi="仿宋_GB2312" w:eastAsia="仿宋_GB2312" w:cs="仿宋_GB2312"/>
          <w:lang w:val="en-US" w:eastAsia="zh-CN"/>
        </w:rPr>
        <w:t>2025</w:t>
      </w:r>
      <w:r>
        <w:rPr>
          <w:rFonts w:hint="eastAsia" w:ascii="仿宋_GB2312" w:hAnsi="仿宋_GB2312" w:eastAsia="仿宋_GB2312" w:cs="仿宋_GB2312"/>
        </w:rPr>
        <w:t>年年初预算购置车辆</w:t>
      </w:r>
      <w:r>
        <w:rPr>
          <w:rFonts w:hint="eastAsia" w:ascii="仿宋_GB2312" w:hAnsi="仿宋_GB2312" w:eastAsia="仿宋_GB2312" w:cs="仿宋_GB2312"/>
          <w:lang w:val="en-US" w:eastAsia="zh-CN"/>
        </w:rPr>
        <w:t>0</w:t>
      </w:r>
      <w:r>
        <w:rPr>
          <w:rFonts w:hint="eastAsia" w:ascii="仿宋_GB2312" w:hAnsi="仿宋_GB2312" w:eastAsia="仿宋_GB2312" w:cs="仿宋_GB2312"/>
        </w:rPr>
        <w:t>台，金额</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万元，单位价值50万元以上的通用设备</w:t>
      </w:r>
      <w:r>
        <w:rPr>
          <w:rFonts w:hint="eastAsia" w:ascii="仿宋_GB2312" w:hAnsi="仿宋_GB2312" w:eastAsia="仿宋_GB2312" w:cs="仿宋_GB2312"/>
          <w:lang w:val="en-US" w:eastAsia="zh-CN"/>
        </w:rPr>
        <w:t>0</w:t>
      </w:r>
      <w:r>
        <w:rPr>
          <w:rFonts w:hint="eastAsia" w:ascii="仿宋_GB2312" w:hAnsi="仿宋_GB2312" w:eastAsia="仿宋_GB2312" w:cs="仿宋_GB2312"/>
        </w:rPr>
        <w:t>台，单位价值100万元以上的专用设备</w:t>
      </w:r>
      <w:r>
        <w:rPr>
          <w:rFonts w:hint="eastAsia" w:ascii="仿宋_GB2312" w:hAnsi="仿宋_GB2312" w:eastAsia="仿宋_GB2312" w:cs="仿宋_GB2312"/>
          <w:lang w:val="en-US" w:eastAsia="zh-CN"/>
        </w:rPr>
        <w:t>0</w:t>
      </w:r>
      <w:r>
        <w:rPr>
          <w:rFonts w:hint="eastAsia" w:ascii="仿宋_GB2312" w:hAnsi="仿宋_GB2312" w:eastAsia="仿宋_GB2312" w:cs="仿宋_GB2312"/>
        </w:rPr>
        <w:t>台。</w:t>
      </w:r>
    </w:p>
    <w:p>
      <w:pPr>
        <w:pStyle w:val="4"/>
        <w:pageBreakBefore w:val="0"/>
        <w:widowControl/>
        <w:kinsoku w:val="0"/>
        <w:wordWrap/>
        <w:overflowPunct/>
        <w:topLinePunct w:val="0"/>
        <w:autoSpaceDE w:val="0"/>
        <w:autoSpaceDN w:val="0"/>
        <w:bidi w:val="0"/>
        <w:adjustRightInd w:val="0"/>
        <w:snapToGrid w:val="0"/>
        <w:spacing w:line="560" w:lineRule="exact"/>
        <w:textAlignment w:val="baseline"/>
      </w:pPr>
      <w:bookmarkStart w:id="22" w:name="_Toc541188672_WPSOffice_Level2"/>
      <w:bookmarkStart w:id="23" w:name="_Toc1701022842"/>
      <w:r>
        <w:t>七、预算绩效目标情况</w:t>
      </w:r>
      <w:bookmarkEnd w:id="22"/>
      <w:bookmarkEnd w:id="23"/>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根据预算绩效管理要求，</w:t>
      </w:r>
      <w:r>
        <w:rPr>
          <w:rFonts w:hint="eastAsia" w:ascii="仿宋_GB2312" w:hAnsi="仿宋_GB2312" w:eastAsia="仿宋_GB2312" w:cs="仿宋_GB2312"/>
          <w:lang w:eastAsia="zh-CN"/>
        </w:rPr>
        <w:t>朝阳市供销社</w:t>
      </w:r>
      <w:r>
        <w:rPr>
          <w:rFonts w:hint="eastAsia" w:ascii="仿宋_GB2312" w:hAnsi="仿宋_GB2312" w:eastAsia="仿宋_GB2312" w:cs="仿宋_GB2312"/>
          <w:lang w:val="en-US" w:eastAsia="zh-CN"/>
        </w:rPr>
        <w:t>2025</w:t>
      </w:r>
      <w:r>
        <w:rPr>
          <w:rFonts w:hint="eastAsia" w:ascii="仿宋_GB2312" w:hAnsi="仿宋_GB2312" w:eastAsia="仿宋_GB2312" w:cs="仿宋_GB2312"/>
        </w:rPr>
        <w:t>年应编制部门(单位)整体绩效目标共</w:t>
      </w:r>
      <w:r>
        <w:rPr>
          <w:rFonts w:hint="eastAsia" w:ascii="仿宋_GB2312" w:hAnsi="仿宋_GB2312" w:eastAsia="仿宋_GB2312" w:cs="仿宋_GB2312"/>
          <w:lang w:val="en-US" w:eastAsia="zh-CN"/>
        </w:rPr>
        <w:t>1</w:t>
      </w:r>
      <w:r>
        <w:rPr>
          <w:rFonts w:hint="eastAsia" w:ascii="仿宋_GB2312" w:hAnsi="仿宋_GB2312" w:eastAsia="仿宋_GB2312" w:cs="仿宋_GB2312"/>
        </w:rPr>
        <w:t>个，实际编制部门(单位)整体绩效目标共</w:t>
      </w:r>
      <w:r>
        <w:rPr>
          <w:rFonts w:hint="eastAsia" w:ascii="仿宋_GB2312" w:hAnsi="仿宋_GB2312" w:eastAsia="仿宋_GB2312" w:cs="仿宋_GB2312"/>
          <w:lang w:val="en-US" w:eastAsia="zh-CN"/>
        </w:rPr>
        <w:t>1</w:t>
      </w:r>
      <w:r>
        <w:rPr>
          <w:rFonts w:hint="eastAsia" w:ascii="仿宋_GB2312" w:hAnsi="仿宋_GB2312" w:eastAsia="仿宋_GB2312" w:cs="仿宋_GB2312"/>
        </w:rPr>
        <w:t>个，编制部门(单位)整体绩效目标覆盖率(实际编制绩效目标的数量/应编制绩效目标的数量)为</w:t>
      </w:r>
      <w:r>
        <w:rPr>
          <w:rFonts w:hint="eastAsia" w:ascii="仿宋_GB2312" w:hAnsi="仿宋_GB2312" w:eastAsia="仿宋_GB2312" w:cs="仿宋_GB2312"/>
          <w:lang w:val="en-US" w:eastAsia="zh-CN"/>
        </w:rPr>
        <w:t>100</w:t>
      </w:r>
      <w:r>
        <w:rPr>
          <w:rFonts w:hint="eastAsia" w:ascii="仿宋_GB2312" w:hAnsi="仿宋_GB2312" w:eastAsia="仿宋_GB2312" w:cs="仿宋_GB2312"/>
        </w:rPr>
        <w:t>%。</w:t>
      </w:r>
      <w:r>
        <w:rPr>
          <w:rFonts w:hint="eastAsia" w:ascii="仿宋_GB2312" w:hAnsi="仿宋_GB2312" w:eastAsia="仿宋_GB2312" w:cs="仿宋_GB2312"/>
          <w:lang w:val="en-US" w:eastAsia="zh-CN"/>
        </w:rPr>
        <w:t>2025</w:t>
      </w:r>
      <w:r>
        <w:rPr>
          <w:rFonts w:hint="eastAsia" w:ascii="仿宋_GB2312" w:hAnsi="仿宋_GB2312" w:eastAsia="仿宋_GB2312" w:cs="仿宋_GB2312"/>
        </w:rPr>
        <w:t>年应编制绩效目标的特定目标类和其他运转类项目共</w:t>
      </w:r>
      <w:r>
        <w:rPr>
          <w:rFonts w:hint="eastAsia" w:ascii="仿宋_GB2312" w:hAnsi="仿宋_GB2312" w:eastAsia="仿宋_GB2312" w:cs="仿宋_GB2312"/>
          <w:lang w:val="en-US" w:eastAsia="zh-CN"/>
        </w:rPr>
        <w:t>0</w:t>
      </w:r>
      <w:r>
        <w:rPr>
          <w:rFonts w:hint="eastAsia" w:ascii="仿宋_GB2312" w:hAnsi="仿宋_GB2312" w:eastAsia="仿宋_GB2312" w:cs="仿宋_GB2312"/>
        </w:rPr>
        <w:t xml:space="preserve"> 个，实际编制绩效目标的特定目标类和其他运转类项目共</w:t>
      </w:r>
      <w:r>
        <w:rPr>
          <w:rFonts w:hint="eastAsia" w:ascii="仿宋_GB2312" w:hAnsi="仿宋_GB2312" w:eastAsia="仿宋_GB2312" w:cs="仿宋_GB2312"/>
          <w:lang w:val="en-US" w:eastAsia="zh-CN"/>
        </w:rPr>
        <w:t>0</w:t>
      </w:r>
      <w:r>
        <w:rPr>
          <w:rFonts w:hint="eastAsia" w:ascii="仿宋_GB2312" w:hAnsi="仿宋_GB2312" w:eastAsia="仿宋_GB2312" w:cs="仿宋_GB2312"/>
        </w:rPr>
        <w:t>个，涉及资金</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万元，编制特定目标类和其他运转类绩效目标的项目覆盖率(实际编制绩效目标的数量/应编制绩效目标的数量)为</w:t>
      </w:r>
      <w:r>
        <w:rPr>
          <w:rFonts w:hint="eastAsia" w:ascii="仿宋_GB2312" w:hAnsi="仿宋_GB2312" w:eastAsia="仿宋_GB2312" w:cs="仿宋_GB2312"/>
          <w:lang w:val="en-US" w:eastAsia="zh-CN"/>
        </w:rPr>
        <w:t>100</w:t>
      </w:r>
      <w:r>
        <w:rPr>
          <w:rFonts w:hint="eastAsia" w:ascii="仿宋_GB2312" w:hAnsi="仿宋_GB2312" w:eastAsia="仿宋_GB2312" w:cs="仿宋_GB2312"/>
        </w:rPr>
        <w:t>%。</w:t>
      </w:r>
    </w:p>
    <w:p>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_GB2312" w:hAnsi="仿宋_GB2312" w:eastAsia="仿宋_GB2312" w:cs="仿宋_GB2312"/>
        </w:rPr>
        <w:sectPr>
          <w:headerReference r:id="rId8" w:type="default"/>
          <w:footerReference r:id="rId9" w:type="default"/>
          <w:pgSz w:w="11900" w:h="16800"/>
          <w:pgMar w:top="1428" w:right="1514" w:bottom="1460" w:left="1785" w:header="0" w:footer="1343" w:gutter="0"/>
          <w:pgNumType w:fmt="decimal"/>
          <w:cols w:space="720" w:num="1"/>
        </w:sectPr>
      </w:pPr>
    </w:p>
    <w:p>
      <w:pPr>
        <w:pStyle w:val="3"/>
        <w:bidi w:val="0"/>
        <w:jc w:val="center"/>
      </w:pPr>
      <w:bookmarkStart w:id="24" w:name="_Toc1076398289_WPSOffice_Level1"/>
      <w:bookmarkStart w:id="25" w:name="_Toc1439714459"/>
      <w:r>
        <w:t>第</w:t>
      </w:r>
      <w:r>
        <w:rPr>
          <w:rFonts w:hint="eastAsia"/>
          <w:lang w:eastAsia="zh-CN"/>
        </w:rPr>
        <w:t>三</w:t>
      </w:r>
      <w:r>
        <w:t>部分名词解释</w:t>
      </w:r>
      <w:bookmarkEnd w:id="24"/>
      <w:bookmarkEnd w:id="25"/>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1.一般公共预算：是对以税收为主体的财政收入，安排用于保障和改善民生、推动经济社会发展、维护国家安全、维持国家机构正常运转等方面的收支预算。</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2.基本支出：是为保障机构正常运转、完成日常工作任务而发生的支出，包括人员经费和公用经费。</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3.项目支出：指为完成特定工作任务和事业发展目标所发生的支出。</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4.机关运行经费：是指行政机关及参公单位的公用经费，包括办公及印刷费、邮电费、差旅费、会议费、福利费、日常维护费、专用材料及一般设备购置费、办公用房水电费、办公用房取暖费、办公用房物业管理费、办公用车运行维护 费以及其他费用。</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5.上年结转：指以前年度尚未使用完毕，结转到本年仍按原规定用途继续使用的资金。</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6.“三公”经费：指用财政拨款预算安排的因公出国(境) 费、公务用车购置及运行费和公务接待费。其中，因公出国(境)费反映单位公务出国(境)的国际旅费、国外城市间交通费、住宿费、伙食费、培训费、公杂费等支出；公务用 车购置及运行费反映单位公务用车车辆购置支出(含车辆购 置税)、燃料费、维修费、过路过桥费、保险费、安全奖励费用等支出；公务接待费反映单位为执行公务或开展业务活动需要合理开支的接待费用。</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7.一般公共服务支出(类)财政事务(款)行政运行(项): 反映行政单位(包括实行公务员管理的事业单位)的基本支出。</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8.一般公共服务支出(类)财政事务(款)一般行政管理事务(项):反映行政单位(包括实行公务员管理的事业单位)未单独设置项级科目的其他项目支出。</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rPr>
      </w:pPr>
      <w:r>
        <w:rPr>
          <w:rFonts w:hint="eastAsia" w:ascii="仿宋_GB2312" w:hAnsi="仿宋_GB2312" w:eastAsia="仿宋_GB2312" w:cs="仿宋_GB2312"/>
        </w:rPr>
        <w:t>9.一般公共服务支出(类)财政事务(款)事业运行(项): 反映事业单位的基本支出</w:t>
      </w:r>
      <w:r>
        <w:rPr>
          <w:rFonts w:hint="eastAsia" w:ascii="仿宋_GB2312" w:hAnsi="仿宋_GB2312" w:eastAsia="仿宋_GB2312" w:cs="仿宋_GB2312"/>
          <w:lang w:eastAsia="zh-CN"/>
        </w:rPr>
        <w:t>，</w:t>
      </w:r>
      <w:r>
        <w:rPr>
          <w:rFonts w:hint="eastAsia" w:ascii="仿宋_GB2312" w:hAnsi="仿宋_GB2312" w:eastAsia="仿宋_GB2312" w:cs="仿宋_GB2312"/>
        </w:rPr>
        <w:t>不包括行政单位(包括实行公务员管理的事业单位)后勤服务中心、医务室等附属事业单位。</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pPr>
      <w:r>
        <w:rPr>
          <w:rFonts w:hint="eastAsia" w:ascii="仿宋_GB2312" w:hAnsi="仿宋_GB2312" w:eastAsia="仿宋_GB2312" w:cs="仿宋_GB2312"/>
        </w:rPr>
        <w:t>10.一般公共服务支出(类)财政事务(款)其他财政事务支出(项):反映除上述项目以外其他财政事务方面的支出。</w:t>
      </w:r>
    </w:p>
    <w:sectPr>
      <w:footerReference r:id="rId10" w:type="default"/>
      <w:pgSz w:w="11940" w:h="16780"/>
      <w:pgMar w:top="1559" w:right="400" w:bottom="1455" w:left="1014"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Cambria">
    <w:altName w:val="仿宋"/>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Liberation Serif">
    <w:panose1 w:val="02020603050405020304"/>
    <w:charset w:val="00"/>
    <w:family w:val="auto"/>
    <w:pitch w:val="default"/>
    <w:sig w:usb0="A00002AF" w:usb1="500078FB" w:usb2="00000000" w:usb3="00000000" w:csb0="6000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WAAAAZHJzL1BLAQIUABQA&#10;AAAIAIdO4kCzSVju0AAAAAUBAAAPAAAAAAAAAAEAIAAAADgAAABkcnMvZG93bnJldi54bWxQSwEC&#10;FAAUAAAACACHTuJAIFtVjMoCAADuBQAADgAAAAAAAAABACAAAAA1AQAAZHJzL2Uyb0RvYy54bWxQ&#10;SwUGAAAAAAYABgBZAQAAcQY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28"/>
      <w:rPr>
        <w:rFonts w:hint="eastAsia" w:ascii="Times New Roman" w:hAnsi="Times New Roman" w:eastAsia="宋体" w:cs="Times New Roman"/>
        <w:sz w:val="15"/>
        <w:szCs w:val="15"/>
        <w:lang w:val="en-US" w:eastAsia="zh-CN"/>
      </w:rPr>
    </w:pPr>
    <w:r>
      <w:rPr>
        <w:sz w:val="15"/>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118"/>
      <w:rPr>
        <w:rFonts w:hint="eastAsia" w:ascii="Times New Roman" w:hAnsi="Times New Roman" w:eastAsia="宋体" w:cs="Times New Roman"/>
        <w:sz w:val="14"/>
        <w:szCs w:val="14"/>
        <w:lang w:val="en-US" w:eastAsia="zh-CN"/>
      </w:rPr>
    </w:pPr>
    <w:r>
      <w:rPr>
        <w:sz w:val="1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dwRad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ihLDNGZ0+vb19P3p9OML&#10;wRsAalyYwW/j4BnbN7YtaPR7MZgC3lPrrfQ63WiKwAVoHy8IizYSjsfxdDKd5jBx2AYFKbLrd+dD&#10;fCusJkkoqMcIO2TZYR3i2XVwSdmMXdVKdWNUhjQFvXn5O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B3BFp0dAgAAKw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155"/>
      <w:rPr>
        <w:rFonts w:hint="eastAsia" w:ascii="Times New Roman" w:hAnsi="Times New Roman" w:eastAsia="宋体" w:cs="Times New Roman"/>
        <w:sz w:val="13"/>
        <w:szCs w:val="13"/>
        <w:lang w:val="en-US" w:eastAsia="zh-CN"/>
      </w:rPr>
    </w:pPr>
    <w:r>
      <w:rPr>
        <w:sz w:val="13"/>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CrQUMRyQIAAO4FAAAOAAAAAAAAAAEAIAAAADUBAABkcnMvZTJvRG9jLnhtbFBL&#10;BQYAAAAABgAGAFkBAABwBg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WAAAAZHJzL1BLAQIUABQA&#10;AAAIAIdO4kCzSVju0AAAAAUBAAAPAAAAAAAAAAEAIAAAADgAAABkcnMvZG93bnJldi54bWxQSwEC&#10;FAAUAAAACACHTuJAEuY7zsoCAADuBQAADgAAAAAAAAABACAAAAA1AQAAZHJzL2Uyb0RvYy54bWxQ&#10;SwUGAAAAAAYABgBZAQAAcQY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5DC1BCC"/>
    <w:rsid w:val="3CFA5AF3"/>
    <w:rsid w:val="4F5BF0F7"/>
    <w:rsid w:val="590063CA"/>
    <w:rsid w:val="6BB40B33"/>
    <w:rsid w:val="795DAB9B"/>
    <w:rsid w:val="79EFED7F"/>
    <w:rsid w:val="7DDA9147"/>
    <w:rsid w:val="BEDF7E70"/>
    <w:rsid w:val="DBEF4538"/>
    <w:rsid w:val="FF5F28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CESI仿宋-GB2312" w:cs="Arial"/>
      <w:snapToGrid w:val="0"/>
      <w:color w:val="000000"/>
      <w:kern w:val="0"/>
      <w:sz w:val="32"/>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Arial" w:hAnsi="Arial" w:eastAsia="方正小标宋简体"/>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rFonts w:ascii="Arial" w:hAnsi="Arial" w:eastAsia="方正楷体_GBK"/>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方正仿宋_GBK"/>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toc 3"/>
    <w:basedOn w:val="1"/>
    <w:next w:val="1"/>
    <w:uiPriority w:val="0"/>
    <w:pPr>
      <w:ind w:left="840" w:leftChars="400"/>
    </w:p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uiPriority w:val="0"/>
  </w:style>
  <w:style w:type="paragraph" w:styleId="11">
    <w:name w:val="toc 2"/>
    <w:basedOn w:val="1"/>
    <w:next w:val="1"/>
    <w:uiPriority w:val="0"/>
    <w:pPr>
      <w:ind w:left="420" w:leftChars="200"/>
    </w:pPr>
  </w:style>
  <w:style w:type="table" w:customStyle="1" w:styleId="14">
    <w:name w:val="Table Normal"/>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20"/>
      <w:szCs w:val="20"/>
      <w:lang w:val="en-US" w:eastAsia="en-US" w:bidi="ar-SA"/>
    </w:rPr>
  </w:style>
  <w:style w:type="paragraph" w:customStyle="1" w:styleId="16">
    <w:name w:val="WPSOffice手动目录 1"/>
    <w:uiPriority w:val="0"/>
    <w:pPr>
      <w:ind w:leftChars="0"/>
    </w:pPr>
    <w:rPr>
      <w:sz w:val="20"/>
      <w:szCs w:val="20"/>
    </w:rPr>
  </w:style>
  <w:style w:type="paragraph" w:customStyle="1" w:styleId="17">
    <w:name w:val="WPSOffice手动目录 2"/>
    <w:uiPriority w:val="0"/>
    <w:pPr>
      <w:ind w:leftChars="200"/>
    </w:pPr>
    <w:rPr>
      <w:sz w:val="20"/>
      <w:szCs w:val="20"/>
    </w:rPr>
  </w:style>
  <w:style w:type="paragraph" w:customStyle="1" w:styleId="18">
    <w:name w:val="WPSOffice手动目录 3"/>
    <w:uiPriority w:val="0"/>
    <w:pPr>
      <w:ind w:leftChars="400"/>
    </w:pPr>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2709</Words>
  <Characters>2864</Characters>
  <Lines>0</Lines>
  <Paragraphs>0</Paragraphs>
  <TotalTime>85</TotalTime>
  <ScaleCrop>false</ScaleCrop>
  <LinksUpToDate>false</LinksUpToDate>
  <CharactersWithSpaces>2968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2025-01-25T07:38:00Z</dcterms:created>
  <dc:creator>Kingsoft-PDF</dc:creator>
  <cp:lastModifiedBy>ql</cp:lastModifiedBy>
  <cp:lastPrinted>2025-02-05T10:49:14Z</cp:lastPrinted>
  <dcterms:modified xsi:type="dcterms:W3CDTF">2025-02-05T11:25:48Z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2025-01-23T15:38:00Z</vt:filetime>
  </property>
  <property fmtid="{D5CDD505-2E9C-101B-9397-08002B2CF9AE}" pid="4" name="UsrData">
    <vt:lpwstr>6791f20004ac55001fefed8bwl</vt:lpwstr>
  </property>
  <property fmtid="{D5CDD505-2E9C-101B-9397-08002B2CF9AE}" pid="5" name="ICV">
    <vt:lpwstr>3DD1B50D81BC901060F291671AB90A9B_32</vt:lpwstr>
  </property>
  <property fmtid="{D5CDD505-2E9C-101B-9397-08002B2CF9AE}" pid="6" name="KSOProductBuildVer">
    <vt:lpwstr>2052-11.8.2.10386</vt:lpwstr>
  </property>
  <property fmtid="{D5CDD505-2E9C-101B-9397-08002B2CF9AE}" pid="7" name="KSOTemplateDocerSaveRecord">
    <vt:lpwstr>eyJoZGlkIjoiOWIxY2M3NTY1ODA3ZTQwZjExYzk2Y2Q1YmNlYjkzZWQiLCJ1c2VySWQiOiI0NDcxNDAxNTkifQ==</vt:lpwstr>
  </property>
</Properties>
</file>